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DD9" w:rsidRDefault="00872DD9" w:rsidP="00872DD9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kern w:val="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П</w:t>
      </w:r>
      <w:r>
        <w:rPr>
          <w:rFonts w:eastAsia="Times New Roman"/>
          <w:kern w:val="0"/>
          <w:sz w:val="28"/>
          <w:szCs w:val="28"/>
        </w:rPr>
        <w:t>еречень нормативных правовых актов Российской Федерации и нормативных правовых актов Ставропольского края, регулирующих предоставление государственной услуги, с указанием их реквизитов и источников официального опубликования</w:t>
      </w:r>
    </w:p>
    <w:p w:rsidR="00872DD9" w:rsidRDefault="00872DD9" w:rsidP="00872DD9">
      <w:pPr>
        <w:ind w:firstLine="720"/>
        <w:jc w:val="both"/>
        <w:rPr>
          <w:szCs w:val="40"/>
        </w:rPr>
      </w:pPr>
      <w:r>
        <w:rPr>
          <w:color w:val="000000"/>
          <w:sz w:val="28"/>
        </w:rPr>
        <w:t xml:space="preserve">Предоставление государственной услуги осуществляется в соответствии </w:t>
      </w:r>
      <w:proofErr w:type="gramStart"/>
      <w:r>
        <w:rPr>
          <w:color w:val="000000"/>
          <w:sz w:val="28"/>
        </w:rPr>
        <w:t>с</w:t>
      </w:r>
      <w:proofErr w:type="gramEnd"/>
      <w:r>
        <w:rPr>
          <w:color w:val="000000"/>
          <w:sz w:val="28"/>
        </w:rPr>
        <w:t>:</w:t>
      </w:r>
    </w:p>
    <w:p w:rsidR="00872DD9" w:rsidRDefault="00872DD9" w:rsidP="00872DD9">
      <w:pPr>
        <w:pStyle w:val="Standard"/>
        <w:widowControl w:val="0"/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Конституцией Российской Федерации</w:t>
      </w:r>
      <w:r>
        <w:rPr>
          <w:rStyle w:val="a5"/>
        </w:rPr>
        <w:footnoteReference w:id="1"/>
      </w:r>
      <w:r>
        <w:rPr>
          <w:sz w:val="28"/>
          <w:szCs w:val="28"/>
        </w:rPr>
        <w:t xml:space="preserve">, </w:t>
      </w:r>
    </w:p>
    <w:p w:rsidR="00872DD9" w:rsidRDefault="00872DD9" w:rsidP="00872DD9">
      <w:pPr>
        <w:pStyle w:val="Standard"/>
        <w:widowControl w:val="0"/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Гражданским кодексом Российской Федерации</w:t>
      </w:r>
      <w:r>
        <w:rPr>
          <w:rStyle w:val="a5"/>
        </w:rPr>
        <w:footnoteReference w:id="2"/>
      </w:r>
      <w:r>
        <w:rPr>
          <w:sz w:val="28"/>
          <w:szCs w:val="28"/>
        </w:rPr>
        <w:t>;</w:t>
      </w:r>
    </w:p>
    <w:p w:rsidR="00872DD9" w:rsidRDefault="00872DD9" w:rsidP="00872DD9">
      <w:pPr>
        <w:pStyle w:val="Con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Законом Российской Федерации от 25.06.1993 № 5242-1 «О праве граждан Российской Федерации на свободу передвижения, выбор места пребывания и жительства в пределах Российской Федерации»</w:t>
      </w:r>
      <w:r>
        <w:rPr>
          <w:rStyle w:val="a5"/>
        </w:rPr>
        <w:footnoteReference w:id="3"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72DD9" w:rsidRDefault="00872DD9" w:rsidP="00872DD9">
      <w:pPr>
        <w:pStyle w:val="Standard"/>
        <w:widowControl w:val="0"/>
        <w:tabs>
          <w:tab w:val="left" w:pos="1125"/>
        </w:tabs>
        <w:suppressAutoHyphens w:val="0"/>
        <w:ind w:firstLine="567"/>
        <w:jc w:val="both"/>
        <w:rPr>
          <w:rFonts w:eastAsia="Times New Roman CYR" w:cs="Times New Roman CYR"/>
          <w:color w:val="000000"/>
          <w:sz w:val="28"/>
          <w:szCs w:val="28"/>
        </w:rPr>
      </w:pPr>
      <w:r>
        <w:rPr>
          <w:rFonts w:eastAsia="Times New Roman CYR" w:cs="Times New Roman CYR"/>
          <w:color w:val="000000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</w:t>
      </w:r>
      <w:r>
        <w:rPr>
          <w:rStyle w:val="a5"/>
          <w:rFonts w:eastAsia="Times New Roman CYR"/>
        </w:rPr>
        <w:footnoteReference w:id="4"/>
      </w:r>
      <w:r>
        <w:rPr>
          <w:rFonts w:eastAsia="Times New Roman CYR" w:cs="Times New Roman CYR"/>
          <w:color w:val="000000"/>
          <w:sz w:val="28"/>
          <w:szCs w:val="28"/>
        </w:rPr>
        <w:t>;</w:t>
      </w:r>
    </w:p>
    <w:p w:rsidR="00872DD9" w:rsidRDefault="00872DD9" w:rsidP="00872DD9">
      <w:pPr>
        <w:pStyle w:val="Standard"/>
        <w:widowControl w:val="0"/>
        <w:tabs>
          <w:tab w:val="left" w:pos="1125"/>
        </w:tabs>
        <w:suppressAutoHyphens w:val="0"/>
        <w:ind w:firstLine="567"/>
        <w:jc w:val="both"/>
        <w:rPr>
          <w:rFonts w:eastAsia="Times New Roman CYR" w:cs="Times New Roman CYR"/>
          <w:color w:val="000000"/>
          <w:sz w:val="28"/>
          <w:szCs w:val="28"/>
        </w:rPr>
      </w:pPr>
      <w:r>
        <w:rPr>
          <w:rFonts w:eastAsia="Times New Roman CYR" w:cs="Times New Roman CYR"/>
          <w:color w:val="000000"/>
          <w:sz w:val="28"/>
          <w:szCs w:val="28"/>
        </w:rPr>
        <w:t>Федеральным законом от 27.07.2006 № 152-ФЗ «О персональных данных»</w:t>
      </w:r>
      <w:r>
        <w:rPr>
          <w:rStyle w:val="a5"/>
          <w:rFonts w:eastAsia="Times New Roman CYR"/>
        </w:rPr>
        <w:footnoteReference w:id="5"/>
      </w:r>
      <w:r>
        <w:rPr>
          <w:rFonts w:eastAsia="Times New Roman CYR" w:cs="Times New Roman CYR"/>
          <w:color w:val="000000"/>
          <w:sz w:val="28"/>
          <w:szCs w:val="28"/>
        </w:rPr>
        <w:t>;</w:t>
      </w:r>
    </w:p>
    <w:p w:rsidR="00872DD9" w:rsidRDefault="00872DD9" w:rsidP="00872DD9">
      <w:pPr>
        <w:autoSpaceDE w:val="0"/>
        <w:ind w:firstLine="567"/>
        <w:jc w:val="both"/>
        <w:rPr>
          <w:rFonts w:eastAsia="Times New Roman CYR" w:cs="Times New Roman CYR"/>
          <w:color w:val="000000"/>
          <w:sz w:val="28"/>
          <w:szCs w:val="28"/>
        </w:rPr>
      </w:pPr>
      <w:r>
        <w:rPr>
          <w:rFonts w:eastAsia="Times New Roman CYR" w:cs="Times New Roman CYR"/>
          <w:color w:val="000000"/>
          <w:sz w:val="28"/>
          <w:szCs w:val="28"/>
        </w:rPr>
        <w:t>Федеральным законом от 06.04.2011 № 63-ФЗ «Об электронной подписи»</w:t>
      </w:r>
      <w:r>
        <w:rPr>
          <w:rStyle w:val="a5"/>
        </w:rPr>
        <w:footnoteReference w:id="6"/>
      </w:r>
      <w:r>
        <w:rPr>
          <w:rFonts w:eastAsia="Times New Roman CYR" w:cs="Times New Roman CYR"/>
          <w:color w:val="000000"/>
          <w:sz w:val="28"/>
          <w:szCs w:val="28"/>
        </w:rPr>
        <w:t>;</w:t>
      </w:r>
    </w:p>
    <w:p w:rsidR="00872DD9" w:rsidRDefault="00872DD9" w:rsidP="00872DD9">
      <w:pPr>
        <w:autoSpaceDE w:val="0"/>
        <w:ind w:firstLine="567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>Жилищным кодексом Российской Федерации</w:t>
      </w:r>
      <w:r>
        <w:rPr>
          <w:rStyle w:val="a5"/>
        </w:rPr>
        <w:footnoteReference w:id="7"/>
      </w:r>
      <w:r>
        <w:rPr>
          <w:rFonts w:eastAsia="Arial CYR"/>
          <w:sz w:val="28"/>
          <w:szCs w:val="28"/>
        </w:rPr>
        <w:t>;</w:t>
      </w:r>
    </w:p>
    <w:p w:rsidR="00872DD9" w:rsidRDefault="00872DD9" w:rsidP="00872DD9">
      <w:pPr>
        <w:autoSpaceDE w:val="0"/>
        <w:ind w:firstLine="567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>Законом Российской Федерации от 15.05.1991 № 1244-1 «О социальной защите граждан, подвергшихся воздействию радиации вследствие катастрофы на Чернобыльской АЭС»</w:t>
      </w:r>
      <w:r>
        <w:rPr>
          <w:rStyle w:val="a5"/>
        </w:rPr>
        <w:footnoteReference w:id="8"/>
      </w:r>
      <w:r>
        <w:rPr>
          <w:rFonts w:eastAsia="Arial CYR"/>
          <w:sz w:val="28"/>
          <w:szCs w:val="28"/>
        </w:rPr>
        <w:t xml:space="preserve"> </w:t>
      </w:r>
    </w:p>
    <w:p w:rsidR="00872DD9" w:rsidRDefault="00872DD9" w:rsidP="00872DD9">
      <w:pPr>
        <w:autoSpaceDE w:val="0"/>
        <w:ind w:firstLine="567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>Федеральным законом от 12.01.1995 № 5-ФЗ «О ветеранах»;</w:t>
      </w:r>
      <w:r>
        <w:rPr>
          <w:rStyle w:val="a5"/>
        </w:rPr>
        <w:footnoteReference w:id="9"/>
      </w:r>
    </w:p>
    <w:p w:rsidR="00872DD9" w:rsidRDefault="00872DD9" w:rsidP="00872DD9">
      <w:pPr>
        <w:autoSpaceDE w:val="0"/>
        <w:ind w:firstLine="567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>Федеральным законом от 24.11.1995 № 181-ФЗ «О социальной защите инвалидов в Российской Федерации»;</w:t>
      </w:r>
      <w:r>
        <w:rPr>
          <w:rStyle w:val="a5"/>
        </w:rPr>
        <w:footnoteReference w:id="10"/>
      </w:r>
    </w:p>
    <w:p w:rsidR="00872DD9" w:rsidRDefault="00872DD9" w:rsidP="00872DD9">
      <w:pPr>
        <w:autoSpaceDE w:val="0"/>
        <w:ind w:firstLine="567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 xml:space="preserve">Федеральным законом от 26.11.1998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>
        <w:rPr>
          <w:rFonts w:eastAsia="Arial CYR"/>
          <w:sz w:val="28"/>
          <w:szCs w:val="28"/>
        </w:rPr>
        <w:t>Теча</w:t>
      </w:r>
      <w:proofErr w:type="spellEnd"/>
      <w:r>
        <w:rPr>
          <w:rFonts w:eastAsia="Arial CYR"/>
          <w:sz w:val="28"/>
          <w:szCs w:val="28"/>
        </w:rPr>
        <w:t xml:space="preserve">»; </w:t>
      </w:r>
      <w:r>
        <w:rPr>
          <w:rStyle w:val="a5"/>
        </w:rPr>
        <w:footnoteReference w:id="11"/>
      </w:r>
    </w:p>
    <w:p w:rsidR="00872DD9" w:rsidRDefault="00872DD9" w:rsidP="00872DD9">
      <w:pPr>
        <w:autoSpaceDE w:val="0"/>
        <w:ind w:firstLine="567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 xml:space="preserve">Федеральным законом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 </w:t>
      </w:r>
      <w:r>
        <w:rPr>
          <w:rStyle w:val="a5"/>
        </w:rPr>
        <w:footnoteReference w:id="12"/>
      </w:r>
    </w:p>
    <w:p w:rsidR="00872DD9" w:rsidRDefault="00872DD9" w:rsidP="00872DD9">
      <w:pPr>
        <w:autoSpaceDE w:val="0"/>
        <w:ind w:firstLine="567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>Федеральным законом от 10.01.2002 № 2-ФЗ «О социальных гарантиях гражданам, подвергшимся радиационному воздействию вследствие ядерных испытаний на Семипалатинском полигоне»;</w:t>
      </w:r>
      <w:r>
        <w:rPr>
          <w:rStyle w:val="a5"/>
        </w:rPr>
        <w:footnoteReference w:id="13"/>
      </w:r>
    </w:p>
    <w:p w:rsidR="00872DD9" w:rsidRDefault="00872DD9" w:rsidP="00872DD9">
      <w:pPr>
        <w:autoSpaceDE w:val="0"/>
        <w:ind w:firstLine="567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 xml:space="preserve">Указом Президента Российской Федерации от 15.10.1992 № 1235 «О предоставлении льгот бывшим несовершеннолетним узникам концлагерей, </w:t>
      </w:r>
      <w:r>
        <w:rPr>
          <w:rFonts w:eastAsia="Arial CYR"/>
          <w:sz w:val="28"/>
          <w:szCs w:val="28"/>
        </w:rPr>
        <w:lastRenderedPageBreak/>
        <w:t>гетто и других мест принудительного содержания, созданных фашистами и их союзниками в период</w:t>
      </w:r>
      <w:proofErr w:type="gramStart"/>
      <w:r>
        <w:rPr>
          <w:rFonts w:eastAsia="Arial CYR"/>
          <w:sz w:val="28"/>
          <w:szCs w:val="28"/>
        </w:rPr>
        <w:t xml:space="preserve"> В</w:t>
      </w:r>
      <w:proofErr w:type="gramEnd"/>
      <w:r>
        <w:rPr>
          <w:rFonts w:eastAsia="Arial CYR"/>
          <w:sz w:val="28"/>
          <w:szCs w:val="28"/>
        </w:rPr>
        <w:t xml:space="preserve">торой мировой войны»; </w:t>
      </w:r>
      <w:r>
        <w:rPr>
          <w:rStyle w:val="a5"/>
        </w:rPr>
        <w:footnoteReference w:id="14"/>
      </w:r>
    </w:p>
    <w:p w:rsidR="00872DD9" w:rsidRDefault="00872DD9" w:rsidP="00872DD9">
      <w:pPr>
        <w:autoSpaceDE w:val="0"/>
        <w:ind w:firstLine="567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 xml:space="preserve">постановлением Верховного Совета Российской Федерации от 27.12.1991 № 2123-1 «О распространении действия Закона РСФСР 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риска»; </w:t>
      </w:r>
      <w:r>
        <w:rPr>
          <w:rStyle w:val="a5"/>
          <w:rFonts w:eastAsia="Arial CYR"/>
          <w:szCs w:val="28"/>
        </w:rPr>
        <w:footnoteReference w:id="15"/>
      </w:r>
    </w:p>
    <w:p w:rsidR="00872DD9" w:rsidRDefault="00872DD9" w:rsidP="00872DD9">
      <w:pPr>
        <w:autoSpaceDE w:val="0"/>
        <w:ind w:firstLine="539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>Законом Ставропольского края от 11.12.2009 № 92-кз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органами государственной власти субъектов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граждан»;</w:t>
      </w:r>
      <w:r>
        <w:rPr>
          <w:rStyle w:val="a5"/>
          <w:rFonts w:eastAsia="Arial CYR"/>
          <w:szCs w:val="28"/>
        </w:rPr>
        <w:footnoteReference w:id="16"/>
      </w:r>
    </w:p>
    <w:p w:rsidR="00872DD9" w:rsidRDefault="00584F61" w:rsidP="00872DD9">
      <w:pPr>
        <w:autoSpaceDE w:val="0"/>
        <w:ind w:firstLine="539"/>
        <w:jc w:val="both"/>
        <w:rPr>
          <w:sz w:val="28"/>
          <w:szCs w:val="28"/>
        </w:rPr>
      </w:pPr>
      <w:hyperlink r:id="rId6" w:history="1">
        <w:r w:rsidR="00872DD9">
          <w:rPr>
            <w:rStyle w:val="a6"/>
            <w:color w:val="auto"/>
            <w:sz w:val="28"/>
            <w:szCs w:val="28"/>
            <w:u w:val="none"/>
          </w:rPr>
          <w:t>постановлением</w:t>
        </w:r>
      </w:hyperlink>
      <w:r w:rsidR="00872DD9">
        <w:rPr>
          <w:sz w:val="28"/>
          <w:szCs w:val="28"/>
        </w:rPr>
        <w:t xml:space="preserve"> Правительства Российской Федерации от 16.08.2012                   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«</w:t>
      </w:r>
      <w:proofErr w:type="spellStart"/>
      <w:r w:rsidR="00872DD9">
        <w:rPr>
          <w:sz w:val="28"/>
          <w:szCs w:val="28"/>
        </w:rPr>
        <w:t>Росатом</w:t>
      </w:r>
      <w:proofErr w:type="spellEnd"/>
      <w:r w:rsidR="00872DD9">
        <w:rPr>
          <w:sz w:val="28"/>
          <w:szCs w:val="28"/>
        </w:rPr>
        <w:t>» и ее должностных лиц»;</w:t>
      </w:r>
      <w:r w:rsidR="00872DD9">
        <w:rPr>
          <w:rStyle w:val="a5"/>
          <w:szCs w:val="28"/>
        </w:rPr>
        <w:footnoteReference w:id="17"/>
      </w:r>
    </w:p>
    <w:p w:rsidR="00872DD9" w:rsidRDefault="00584F61" w:rsidP="00872DD9">
      <w:pPr>
        <w:autoSpaceDE w:val="0"/>
        <w:ind w:firstLine="539"/>
        <w:jc w:val="both"/>
        <w:rPr>
          <w:sz w:val="28"/>
          <w:szCs w:val="28"/>
        </w:rPr>
      </w:pPr>
      <w:hyperlink r:id="rId7" w:history="1">
        <w:r w:rsidR="00872DD9">
          <w:rPr>
            <w:rStyle w:val="a6"/>
            <w:color w:val="auto"/>
            <w:sz w:val="28"/>
            <w:szCs w:val="28"/>
            <w:u w:val="none"/>
          </w:rPr>
          <w:t>постановлением</w:t>
        </w:r>
      </w:hyperlink>
      <w:r w:rsidR="00872DD9">
        <w:rPr>
          <w:sz w:val="28"/>
          <w:szCs w:val="28"/>
        </w:rPr>
        <w:t xml:space="preserve"> Правительства Российской Федерации от 07.07.2011         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документов»;</w:t>
      </w:r>
      <w:r w:rsidR="00872DD9">
        <w:rPr>
          <w:rStyle w:val="a5"/>
          <w:szCs w:val="28"/>
        </w:rPr>
        <w:footnoteReference w:id="18"/>
      </w:r>
    </w:p>
    <w:p w:rsidR="00872DD9" w:rsidRDefault="00872DD9" w:rsidP="00872DD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постановление Правительства Ставропольского края от 17.09.2008               № 145-п «О предоставлении мер социальной поддержки по оплате жилого помещения и коммунальных услуг отдельным категориям граждан в Ставропольском крае в денежной форме»,</w:t>
      </w:r>
      <w:r>
        <w:rPr>
          <w:rStyle w:val="a5"/>
          <w:rFonts w:eastAsia="Times New Roman"/>
          <w:kern w:val="0"/>
          <w:szCs w:val="28"/>
        </w:rPr>
        <w:footnoteReference w:id="19"/>
      </w:r>
    </w:p>
    <w:p w:rsidR="00872DD9" w:rsidRDefault="00872DD9" w:rsidP="00872DD9">
      <w:pPr>
        <w:autoSpaceDE w:val="0"/>
        <w:ind w:firstLine="539"/>
        <w:jc w:val="both"/>
        <w:rPr>
          <w:rFonts w:eastAsia="Arial CYR"/>
          <w:color w:val="FF0000"/>
          <w:sz w:val="28"/>
          <w:szCs w:val="28"/>
        </w:rPr>
      </w:pPr>
      <w:r>
        <w:rPr>
          <w:sz w:val="28"/>
        </w:rPr>
        <w:t>а также последующими редакциями указанных нормативных правовых актов.</w:t>
      </w:r>
    </w:p>
    <w:p w:rsidR="00B00885" w:rsidRDefault="00B00885"/>
    <w:sectPr w:rsidR="00B00885" w:rsidSect="00B00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ABD" w:rsidRDefault="00676ABD" w:rsidP="00872DD9">
      <w:r>
        <w:separator/>
      </w:r>
    </w:p>
  </w:endnote>
  <w:endnote w:type="continuationSeparator" w:id="0">
    <w:p w:rsidR="00676ABD" w:rsidRDefault="00676ABD" w:rsidP="00872D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ABD" w:rsidRDefault="00676ABD" w:rsidP="00872DD9">
      <w:r>
        <w:separator/>
      </w:r>
    </w:p>
  </w:footnote>
  <w:footnote w:type="continuationSeparator" w:id="0">
    <w:p w:rsidR="00676ABD" w:rsidRDefault="00676ABD" w:rsidP="00872DD9">
      <w:r>
        <w:continuationSeparator/>
      </w:r>
    </w:p>
  </w:footnote>
  <w:footnote w:id="1">
    <w:p w:rsidR="00872DD9" w:rsidRDefault="00872DD9" w:rsidP="00872DD9">
      <w:pPr>
        <w:rPr>
          <w:rStyle w:val="a5"/>
          <w:sz w:val="18"/>
          <w:szCs w:val="18"/>
        </w:rPr>
      </w:pPr>
      <w:r>
        <w:rPr>
          <w:rStyle w:val="a5"/>
          <w:sz w:val="18"/>
          <w:szCs w:val="18"/>
        </w:rPr>
        <w:footnoteRef/>
      </w:r>
      <w:r>
        <w:rPr>
          <w:rStyle w:val="a5"/>
          <w:sz w:val="18"/>
          <w:szCs w:val="18"/>
        </w:rPr>
        <w:t xml:space="preserve"> «Российская газета» № 237 от 25 декабря 1993 года.</w:t>
      </w:r>
    </w:p>
  </w:footnote>
  <w:footnote w:id="2">
    <w:p w:rsidR="00872DD9" w:rsidRDefault="00872DD9" w:rsidP="00872DD9">
      <w:pPr>
        <w:rPr>
          <w:rStyle w:val="a5"/>
          <w:sz w:val="18"/>
          <w:szCs w:val="18"/>
        </w:rPr>
      </w:pPr>
      <w:r>
        <w:rPr>
          <w:rStyle w:val="a5"/>
          <w:sz w:val="18"/>
          <w:szCs w:val="18"/>
        </w:rPr>
        <w:footnoteRef/>
      </w:r>
      <w:r>
        <w:rPr>
          <w:rStyle w:val="a5"/>
          <w:sz w:val="18"/>
          <w:szCs w:val="18"/>
        </w:rPr>
        <w:t xml:space="preserve"> Собрание законодательства Российской Федерации № 32, ст. 3301 от 05 декабря 1994 года.</w:t>
      </w:r>
    </w:p>
  </w:footnote>
  <w:footnote w:id="3">
    <w:p w:rsidR="00872DD9" w:rsidRDefault="00872DD9" w:rsidP="00872DD9">
      <w:pPr>
        <w:rPr>
          <w:rStyle w:val="a5"/>
          <w:sz w:val="18"/>
          <w:szCs w:val="18"/>
        </w:rPr>
      </w:pPr>
      <w:r>
        <w:rPr>
          <w:rStyle w:val="a5"/>
          <w:sz w:val="18"/>
          <w:szCs w:val="18"/>
        </w:rPr>
        <w:footnoteRef/>
      </w:r>
      <w:r>
        <w:rPr>
          <w:rStyle w:val="a5"/>
          <w:sz w:val="18"/>
          <w:szCs w:val="18"/>
        </w:rPr>
        <w:t xml:space="preserve"> Российская газета № 152 от 10 августа 1993 года.</w:t>
      </w:r>
    </w:p>
  </w:footnote>
  <w:footnote w:id="4">
    <w:p w:rsidR="00872DD9" w:rsidRDefault="00872DD9" w:rsidP="00872DD9">
      <w:pPr>
        <w:rPr>
          <w:rStyle w:val="a5"/>
          <w:sz w:val="18"/>
          <w:szCs w:val="18"/>
        </w:rPr>
      </w:pPr>
      <w:r>
        <w:rPr>
          <w:rStyle w:val="a5"/>
          <w:sz w:val="18"/>
          <w:szCs w:val="18"/>
        </w:rPr>
        <w:footnoteRef/>
      </w:r>
      <w:r>
        <w:rPr>
          <w:rStyle w:val="a5"/>
          <w:sz w:val="18"/>
          <w:szCs w:val="18"/>
        </w:rPr>
        <w:t xml:space="preserve"> «Российская газета» № 168 от 30 июля 2010 года</w:t>
      </w:r>
      <w:r>
        <w:rPr>
          <w:sz w:val="18"/>
          <w:szCs w:val="18"/>
        </w:rPr>
        <w:t>.</w:t>
      </w:r>
    </w:p>
  </w:footnote>
  <w:footnote w:id="5">
    <w:p w:rsidR="00872DD9" w:rsidRDefault="00872DD9" w:rsidP="00872DD9">
      <w:pPr>
        <w:rPr>
          <w:rStyle w:val="a5"/>
          <w:sz w:val="18"/>
          <w:szCs w:val="18"/>
        </w:rPr>
      </w:pPr>
      <w:r>
        <w:rPr>
          <w:rStyle w:val="a5"/>
          <w:sz w:val="18"/>
          <w:szCs w:val="18"/>
        </w:rPr>
        <w:footnoteRef/>
      </w:r>
      <w:r>
        <w:rPr>
          <w:rStyle w:val="a5"/>
          <w:sz w:val="18"/>
          <w:szCs w:val="18"/>
        </w:rPr>
        <w:t xml:space="preserve"> «Российская газета» № 165 от 29 июля 2006 года</w:t>
      </w:r>
      <w:r>
        <w:rPr>
          <w:sz w:val="18"/>
          <w:szCs w:val="18"/>
        </w:rPr>
        <w:t>.</w:t>
      </w:r>
    </w:p>
  </w:footnote>
  <w:footnote w:id="6">
    <w:p w:rsidR="00872DD9" w:rsidRDefault="00872DD9" w:rsidP="00872DD9">
      <w:pPr>
        <w:rPr>
          <w:rStyle w:val="a5"/>
          <w:sz w:val="18"/>
          <w:szCs w:val="18"/>
        </w:rPr>
      </w:pPr>
      <w:r>
        <w:rPr>
          <w:rStyle w:val="a5"/>
          <w:sz w:val="18"/>
          <w:szCs w:val="18"/>
        </w:rPr>
        <w:footnoteRef/>
      </w:r>
      <w:r>
        <w:rPr>
          <w:rStyle w:val="a5"/>
          <w:sz w:val="18"/>
          <w:szCs w:val="18"/>
        </w:rPr>
        <w:t xml:space="preserve"> «Парламентская газета» № 17 от 08-14 апреля 2011 года; «Российская газета» № 75 от 08 апреля 2011 года</w:t>
      </w:r>
      <w:r>
        <w:rPr>
          <w:sz w:val="18"/>
          <w:szCs w:val="18"/>
        </w:rPr>
        <w:t>.</w:t>
      </w:r>
    </w:p>
  </w:footnote>
  <w:footnote w:id="7">
    <w:p w:rsidR="00872DD9" w:rsidRDefault="00872DD9" w:rsidP="00872DD9">
      <w:r>
        <w:rPr>
          <w:rStyle w:val="a5"/>
          <w:sz w:val="18"/>
          <w:szCs w:val="18"/>
        </w:rPr>
        <w:footnoteRef/>
      </w:r>
      <w:r>
        <w:rPr>
          <w:sz w:val="18"/>
          <w:szCs w:val="18"/>
        </w:rPr>
        <w:t xml:space="preserve"> «Российская газета», №1, 12.01.2005.</w:t>
      </w:r>
    </w:p>
  </w:footnote>
  <w:footnote w:id="8">
    <w:p w:rsidR="00872DD9" w:rsidRDefault="00872DD9" w:rsidP="00872DD9">
      <w:pPr>
        <w:rPr>
          <w:sz w:val="18"/>
          <w:szCs w:val="18"/>
        </w:rPr>
      </w:pPr>
      <w:r>
        <w:rPr>
          <w:rStyle w:val="a5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rFonts w:eastAsia="Arial CYR"/>
          <w:sz w:val="18"/>
          <w:szCs w:val="18"/>
        </w:rPr>
        <w:t>«</w:t>
      </w:r>
      <w:r>
        <w:rPr>
          <w:sz w:val="18"/>
          <w:szCs w:val="18"/>
        </w:rPr>
        <w:t xml:space="preserve">Ведомости СНД и </w:t>
      </w:r>
      <w:proofErr w:type="gramStart"/>
      <w:r>
        <w:rPr>
          <w:sz w:val="18"/>
          <w:szCs w:val="18"/>
        </w:rPr>
        <w:t>ВС</w:t>
      </w:r>
      <w:proofErr w:type="gramEnd"/>
      <w:r>
        <w:rPr>
          <w:sz w:val="18"/>
          <w:szCs w:val="18"/>
        </w:rPr>
        <w:t xml:space="preserve"> РСФСР», 1991, № 21, ст. 699</w:t>
      </w:r>
      <w:r>
        <w:rPr>
          <w:rFonts w:eastAsia="Arial CYR"/>
          <w:sz w:val="18"/>
          <w:szCs w:val="18"/>
        </w:rPr>
        <w:t>.</w:t>
      </w:r>
    </w:p>
  </w:footnote>
  <w:footnote w:id="9">
    <w:p w:rsidR="00872DD9" w:rsidRDefault="00872DD9" w:rsidP="00872DD9">
      <w:pPr>
        <w:rPr>
          <w:sz w:val="18"/>
          <w:szCs w:val="18"/>
        </w:rPr>
      </w:pPr>
      <w:r>
        <w:rPr>
          <w:rStyle w:val="a5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rFonts w:eastAsia="Arial CYR"/>
          <w:sz w:val="18"/>
          <w:szCs w:val="18"/>
        </w:rPr>
        <w:t>«</w:t>
      </w:r>
      <w:r>
        <w:rPr>
          <w:sz w:val="18"/>
          <w:szCs w:val="18"/>
        </w:rPr>
        <w:t>Российская газета», № 1 - 3, 05.01.2000</w:t>
      </w:r>
      <w:r>
        <w:rPr>
          <w:rFonts w:eastAsia="Arial CYR"/>
          <w:sz w:val="18"/>
          <w:szCs w:val="18"/>
        </w:rPr>
        <w:t>.</w:t>
      </w:r>
    </w:p>
  </w:footnote>
  <w:footnote w:id="10">
    <w:p w:rsidR="00872DD9" w:rsidRDefault="00872DD9" w:rsidP="00872DD9">
      <w:pPr>
        <w:rPr>
          <w:sz w:val="18"/>
          <w:szCs w:val="18"/>
        </w:rPr>
      </w:pPr>
      <w:r>
        <w:rPr>
          <w:rStyle w:val="a5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rFonts w:eastAsia="Arial CYR"/>
          <w:sz w:val="18"/>
          <w:szCs w:val="18"/>
        </w:rPr>
        <w:t>«</w:t>
      </w:r>
      <w:r>
        <w:rPr>
          <w:sz w:val="18"/>
          <w:szCs w:val="18"/>
        </w:rPr>
        <w:t>Российская газета», № 234, 02.12.1995</w:t>
      </w:r>
      <w:r>
        <w:rPr>
          <w:rFonts w:eastAsia="Arial CYR"/>
          <w:sz w:val="18"/>
          <w:szCs w:val="18"/>
        </w:rPr>
        <w:t>.</w:t>
      </w:r>
    </w:p>
  </w:footnote>
  <w:footnote w:id="11">
    <w:p w:rsidR="00872DD9" w:rsidRDefault="00872DD9" w:rsidP="00872DD9">
      <w:pPr>
        <w:rPr>
          <w:sz w:val="18"/>
          <w:szCs w:val="18"/>
        </w:rPr>
      </w:pPr>
      <w:r>
        <w:rPr>
          <w:rStyle w:val="a5"/>
          <w:sz w:val="18"/>
          <w:szCs w:val="18"/>
        </w:rPr>
        <w:footnoteRef/>
      </w:r>
      <w:r>
        <w:rPr>
          <w:sz w:val="18"/>
          <w:szCs w:val="18"/>
        </w:rPr>
        <w:t xml:space="preserve"> «Российская газета», № 229, 02.12.1998</w:t>
      </w:r>
      <w:r>
        <w:rPr>
          <w:rFonts w:eastAsia="Arial CYR"/>
          <w:sz w:val="18"/>
          <w:szCs w:val="18"/>
        </w:rPr>
        <w:t>.</w:t>
      </w:r>
    </w:p>
  </w:footnote>
  <w:footnote w:id="12">
    <w:p w:rsidR="00872DD9" w:rsidRDefault="00872DD9" w:rsidP="00872DD9">
      <w:pPr>
        <w:rPr>
          <w:sz w:val="18"/>
          <w:szCs w:val="18"/>
        </w:rPr>
      </w:pPr>
      <w:r>
        <w:rPr>
          <w:rStyle w:val="a5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rFonts w:eastAsia="Arial CYR"/>
          <w:sz w:val="18"/>
          <w:szCs w:val="18"/>
        </w:rPr>
        <w:t>«</w:t>
      </w:r>
      <w:r>
        <w:rPr>
          <w:sz w:val="18"/>
          <w:szCs w:val="18"/>
        </w:rPr>
        <w:t>Российская газета», № 206, 19.10.1999</w:t>
      </w:r>
      <w:r>
        <w:rPr>
          <w:rFonts w:eastAsia="Arial CYR"/>
          <w:sz w:val="18"/>
          <w:szCs w:val="18"/>
        </w:rPr>
        <w:t>.</w:t>
      </w:r>
    </w:p>
  </w:footnote>
  <w:footnote w:id="13">
    <w:p w:rsidR="00872DD9" w:rsidRDefault="00872DD9" w:rsidP="00872DD9">
      <w:pPr>
        <w:rPr>
          <w:sz w:val="18"/>
          <w:szCs w:val="18"/>
        </w:rPr>
      </w:pPr>
      <w:r>
        <w:rPr>
          <w:rStyle w:val="a5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rFonts w:eastAsia="Arial CYR"/>
          <w:kern w:val="28"/>
          <w:sz w:val="18"/>
          <w:szCs w:val="18"/>
        </w:rPr>
        <w:t>«</w:t>
      </w:r>
      <w:r>
        <w:rPr>
          <w:kern w:val="28"/>
          <w:sz w:val="18"/>
          <w:szCs w:val="18"/>
        </w:rPr>
        <w:t>Парламентская газета», № 9, 12.01.2002</w:t>
      </w:r>
      <w:r>
        <w:rPr>
          <w:rFonts w:eastAsia="Arial CYR"/>
          <w:kern w:val="28"/>
          <w:sz w:val="18"/>
          <w:szCs w:val="18"/>
        </w:rPr>
        <w:t>.</w:t>
      </w:r>
    </w:p>
  </w:footnote>
  <w:footnote w:id="14">
    <w:p w:rsidR="00872DD9" w:rsidRDefault="00872DD9" w:rsidP="00872DD9">
      <w:pPr>
        <w:pStyle w:val="a3"/>
        <w:rPr>
          <w:sz w:val="18"/>
          <w:szCs w:val="18"/>
        </w:rPr>
      </w:pPr>
      <w:r>
        <w:rPr>
          <w:rStyle w:val="a5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rFonts w:eastAsia="Arial CYR"/>
          <w:sz w:val="18"/>
          <w:szCs w:val="18"/>
        </w:rPr>
        <w:t>«</w:t>
      </w:r>
      <w:r>
        <w:rPr>
          <w:sz w:val="18"/>
          <w:szCs w:val="18"/>
        </w:rPr>
        <w:t xml:space="preserve">Ведомости СНД и </w:t>
      </w:r>
      <w:proofErr w:type="gramStart"/>
      <w:r>
        <w:rPr>
          <w:sz w:val="18"/>
          <w:szCs w:val="18"/>
        </w:rPr>
        <w:t>ВС</w:t>
      </w:r>
      <w:proofErr w:type="gramEnd"/>
      <w:r>
        <w:rPr>
          <w:sz w:val="18"/>
          <w:szCs w:val="18"/>
        </w:rPr>
        <w:t xml:space="preserve"> РФ», 29.10.1992, № 43, ст. 2434</w:t>
      </w:r>
      <w:r>
        <w:rPr>
          <w:rFonts w:eastAsia="Arial CYR"/>
          <w:sz w:val="18"/>
          <w:szCs w:val="18"/>
        </w:rPr>
        <w:t>.</w:t>
      </w:r>
    </w:p>
  </w:footnote>
  <w:footnote w:id="15">
    <w:p w:rsidR="00872DD9" w:rsidRDefault="00872DD9" w:rsidP="00872DD9">
      <w:pPr>
        <w:widowControl/>
        <w:suppressAutoHyphens w:val="0"/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rStyle w:val="a5"/>
          <w:sz w:val="18"/>
          <w:szCs w:val="18"/>
        </w:rPr>
        <w:footnoteRef/>
      </w:r>
      <w:r>
        <w:rPr>
          <w:rFonts w:eastAsia="Times New Roman"/>
          <w:kern w:val="0"/>
          <w:sz w:val="18"/>
          <w:szCs w:val="18"/>
        </w:rPr>
        <w:t xml:space="preserve">«Ведомости СНД и </w:t>
      </w:r>
      <w:proofErr w:type="gramStart"/>
      <w:r>
        <w:rPr>
          <w:rFonts w:eastAsia="Times New Roman"/>
          <w:kern w:val="0"/>
          <w:sz w:val="18"/>
          <w:szCs w:val="18"/>
        </w:rPr>
        <w:t>ВС</w:t>
      </w:r>
      <w:proofErr w:type="gramEnd"/>
      <w:r>
        <w:rPr>
          <w:rFonts w:eastAsia="Times New Roman"/>
          <w:kern w:val="0"/>
          <w:sz w:val="18"/>
          <w:szCs w:val="18"/>
        </w:rPr>
        <w:t xml:space="preserve"> РСФСР», 23.01.1992, № 4, ст. 138.</w:t>
      </w:r>
    </w:p>
  </w:footnote>
  <w:footnote w:id="16">
    <w:p w:rsidR="00872DD9" w:rsidRDefault="00872DD9" w:rsidP="00872DD9">
      <w:pPr>
        <w:widowControl/>
        <w:suppressAutoHyphens w:val="0"/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rStyle w:val="a5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rFonts w:eastAsia="Times New Roman"/>
          <w:kern w:val="0"/>
          <w:sz w:val="18"/>
          <w:szCs w:val="18"/>
        </w:rPr>
        <w:t>«</w:t>
      </w:r>
      <w:proofErr w:type="gramStart"/>
      <w:r>
        <w:rPr>
          <w:rFonts w:eastAsia="Times New Roman"/>
          <w:kern w:val="0"/>
          <w:sz w:val="18"/>
          <w:szCs w:val="18"/>
        </w:rPr>
        <w:t>Ставропольская</w:t>
      </w:r>
      <w:proofErr w:type="gramEnd"/>
      <w:r>
        <w:rPr>
          <w:rFonts w:eastAsia="Times New Roman"/>
          <w:kern w:val="0"/>
          <w:sz w:val="18"/>
          <w:szCs w:val="18"/>
        </w:rPr>
        <w:t xml:space="preserve"> правда», № 268, 16.12.2009.</w:t>
      </w:r>
    </w:p>
  </w:footnote>
  <w:footnote w:id="17">
    <w:p w:rsidR="00872DD9" w:rsidRDefault="00872DD9" w:rsidP="00872DD9">
      <w:pPr>
        <w:pStyle w:val="a3"/>
        <w:rPr>
          <w:sz w:val="18"/>
          <w:szCs w:val="18"/>
        </w:rPr>
      </w:pPr>
      <w:r>
        <w:rPr>
          <w:rStyle w:val="a5"/>
          <w:sz w:val="18"/>
          <w:szCs w:val="18"/>
        </w:rPr>
        <w:footnoteRef/>
      </w:r>
      <w:r>
        <w:rPr>
          <w:sz w:val="18"/>
          <w:szCs w:val="18"/>
        </w:rPr>
        <w:t xml:space="preserve"> «Российская газета», № 192, 22.08.2012.</w:t>
      </w:r>
    </w:p>
  </w:footnote>
  <w:footnote w:id="18">
    <w:p w:rsidR="00872DD9" w:rsidRDefault="00872DD9" w:rsidP="00872DD9">
      <w:pPr>
        <w:widowControl/>
        <w:suppressAutoHyphens w:val="0"/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rStyle w:val="a5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rFonts w:eastAsia="Times New Roman"/>
          <w:kern w:val="0"/>
          <w:sz w:val="18"/>
          <w:szCs w:val="18"/>
        </w:rPr>
        <w:t>«Собрание законодательства РФ», 18.07.2011, № 29, ст. 4479.</w:t>
      </w:r>
    </w:p>
  </w:footnote>
  <w:footnote w:id="19">
    <w:p w:rsidR="00872DD9" w:rsidRDefault="00872DD9" w:rsidP="00872DD9">
      <w:pPr>
        <w:widowControl/>
        <w:suppressAutoHyphens w:val="0"/>
        <w:autoSpaceDE w:val="0"/>
        <w:autoSpaceDN w:val="0"/>
        <w:adjustRightInd w:val="0"/>
        <w:jc w:val="both"/>
      </w:pPr>
      <w:r>
        <w:rPr>
          <w:rStyle w:val="a5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rFonts w:eastAsia="Times New Roman"/>
          <w:kern w:val="0"/>
          <w:sz w:val="18"/>
          <w:szCs w:val="18"/>
        </w:rPr>
        <w:t>«</w:t>
      </w:r>
      <w:proofErr w:type="gramStart"/>
      <w:r>
        <w:rPr>
          <w:rFonts w:eastAsia="Times New Roman"/>
          <w:kern w:val="0"/>
          <w:sz w:val="18"/>
          <w:szCs w:val="18"/>
        </w:rPr>
        <w:t>Ставропольская</w:t>
      </w:r>
      <w:proofErr w:type="gramEnd"/>
      <w:r>
        <w:rPr>
          <w:rFonts w:eastAsia="Times New Roman"/>
          <w:kern w:val="0"/>
          <w:sz w:val="18"/>
          <w:szCs w:val="18"/>
        </w:rPr>
        <w:t xml:space="preserve"> правда», № 210, 25.09.2008.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2DD9"/>
    <w:rsid w:val="00584F61"/>
    <w:rsid w:val="00676ABD"/>
    <w:rsid w:val="00806F7C"/>
    <w:rsid w:val="00872DD9"/>
    <w:rsid w:val="00B00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DD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872DD9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872D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872D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872DD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styleId="a5">
    <w:name w:val="footnote reference"/>
    <w:semiHidden/>
    <w:unhideWhenUsed/>
    <w:rsid w:val="00872DD9"/>
    <w:rPr>
      <w:sz w:val="28"/>
      <w:vertAlign w:val="superscript"/>
    </w:rPr>
  </w:style>
  <w:style w:type="character" w:styleId="a6">
    <w:name w:val="Hyperlink"/>
    <w:basedOn w:val="a0"/>
    <w:uiPriority w:val="99"/>
    <w:semiHidden/>
    <w:unhideWhenUsed/>
    <w:rsid w:val="00872D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1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C983AC0B7A6DD0575253EAA2C975987705174BD609EEB1C0B09C99B10F3V9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C983AC0B7A6DD0575253EAA2C975987705770B86592EB1C0B09C99B10F3V9J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3383</Characters>
  <Application>Microsoft Office Word</Application>
  <DocSecurity>0</DocSecurity>
  <Lines>28</Lines>
  <Paragraphs>7</Paragraphs>
  <ScaleCrop>false</ScaleCrop>
  <Company>RePack by SPecialiST</Company>
  <LinksUpToDate>false</LinksUpToDate>
  <CharactersWithSpaces>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SubsidiiMaster</dc:creator>
  <cp:keywords/>
  <dc:description/>
  <cp:lastModifiedBy>SubsidiiMaster</cp:lastModifiedBy>
  <cp:revision>4</cp:revision>
  <dcterms:created xsi:type="dcterms:W3CDTF">2019-11-07T13:03:00Z</dcterms:created>
  <dcterms:modified xsi:type="dcterms:W3CDTF">2019-11-11T08:39:00Z</dcterms:modified>
</cp:coreProperties>
</file>