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426" w:firstLine="426"/>
        <w:jc w:val="center"/>
        <w:rPr>
          <w:rFonts w:ascii="Times New Roman" w:hAnsi="Times New Roman"/>
          <w:b/>
          <w:b/>
        </w:rPr>
      </w:pPr>
      <w:r>
        <w:rPr>
          <w:rFonts w:ascii="Times New Roman" w:hAnsi="Times New Roman"/>
          <w:b/>
        </w:rPr>
      </w:r>
    </w:p>
    <w:p>
      <w:pPr>
        <w:pStyle w:val="Normal"/>
        <w:spacing w:lineRule="exact" w:line="240" w:before="0" w:after="0"/>
        <w:ind w:left="-426" w:firstLine="426"/>
        <w:jc w:val="center"/>
        <w:rPr>
          <w:rFonts w:ascii="Times New Roman" w:hAnsi="Times New Roman"/>
          <w:b/>
          <w:b/>
        </w:rPr>
      </w:pPr>
      <w:r>
        <w:rPr>
          <w:rFonts w:ascii="Times New Roman" w:hAnsi="Times New Roman"/>
          <w:b/>
        </w:rPr>
      </w:r>
    </w:p>
    <w:p>
      <w:pPr>
        <w:pStyle w:val="1"/>
        <w:spacing w:lineRule="exact" w:line="240" w:before="0" w:after="0"/>
        <w:ind w:left="-426" w:firstLine="426"/>
        <w:rPr>
          <w:rFonts w:ascii="Times New Roman" w:hAnsi="Times New Roman"/>
          <w:b/>
          <w:b/>
        </w:rPr>
      </w:pPr>
      <w:r>
        <w:rPr>
          <w:rFonts w:ascii="Arial;sans-serif" w:hAnsi="Arial;sans-serif"/>
          <w:b/>
          <w:i w:val="false"/>
          <w:caps w:val="false"/>
          <w:smallCaps w:val="false"/>
          <w:color w:val="275D7F"/>
          <w:spacing w:val="0"/>
          <w:sz w:val="28"/>
        </w:rPr>
      </w:r>
    </w:p>
    <w:p>
      <w:pPr>
        <w:sectPr>
          <w:type w:val="nextPage"/>
          <w:pgSz w:w="11906" w:h="16838"/>
          <w:pgMar w:left="1185" w:right="716" w:header="0" w:top="426" w:footer="0" w:bottom="1134" w:gutter="0"/>
          <w:pgNumType w:fmt="decimal"/>
          <w:formProt w:val="false"/>
          <w:textDirection w:val="lrTb"/>
          <w:docGrid w:type="default" w:linePitch="326" w:charSpace="4096"/>
        </w:sectPr>
      </w:pPr>
    </w:p>
    <w:p>
      <w:pPr>
        <w:pStyle w:val="1"/>
        <w:widowControl/>
        <w:spacing w:lineRule="exact" w:line="240" w:before="0" w:after="0"/>
        <w:ind w:left="-426" w:firstLine="426"/>
        <w:jc w:val="center"/>
        <w:rPr>
          <w:rFonts w:ascii="Times New Roman" w:hAnsi="Times New Roman"/>
          <w:b/>
          <w:b/>
        </w:rPr>
      </w:pPr>
      <w:r>
        <w:rPr>
          <w:rFonts w:ascii="Arial;sans-serif" w:hAnsi="Arial;sans-serif"/>
          <w:b/>
          <w:i w:val="false"/>
          <w:caps w:val="false"/>
          <w:smallCaps w:val="false"/>
          <w:color w:val="275D7F"/>
          <w:spacing w:val="0"/>
          <w:sz w:val="28"/>
        </w:rPr>
      </w:r>
    </w:p>
    <w:p>
      <w:pPr>
        <w:pStyle w:val="1"/>
        <w:widowControl/>
        <w:spacing w:lineRule="exact" w:line="240" w:before="0" w:after="0"/>
        <w:ind w:left="-426" w:firstLine="426"/>
        <w:jc w:val="center"/>
        <w:rPr>
          <w:rFonts w:ascii="Times New Roman" w:hAnsi="Times New Roman"/>
          <w:b/>
          <w:b/>
        </w:rPr>
      </w:pPr>
      <w:r>
        <w:rPr>
          <w:rFonts w:ascii="Arial;sans-serif" w:hAnsi="Arial;sans-serif"/>
          <w:b/>
          <w:i w:val="false"/>
          <w:caps w:val="false"/>
          <w:smallCaps w:val="false"/>
          <w:color w:val="275D7F"/>
          <w:spacing w:val="0"/>
          <w:sz w:val="28"/>
        </w:rPr>
        <w:t>Ответственность муниципальных служащих за совершение коррупционных правонарушений и преступлений</w:t>
      </w:r>
    </w:p>
    <w:p>
      <w:pPr>
        <w:pStyle w:val="Style21"/>
        <w:widowControl/>
        <w:spacing w:lineRule="exact" w:line="240" w:before="0" w:after="0"/>
        <w:ind w:left="-426" w:firstLine="426"/>
        <w:jc w:val="center"/>
        <w:rPr>
          <w:rFonts w:ascii="Times New Roman" w:hAnsi="Times New Roman"/>
          <w:b/>
          <w:b/>
        </w:rPr>
      </w:pPr>
      <w:r>
        <w:rPr>
          <w:rFonts w:ascii="Arial;sans-serif" w:hAnsi="Arial;sans-serif"/>
          <w:b/>
          <w:i w:val="false"/>
          <w:caps w:val="false"/>
          <w:smallCaps w:val="false"/>
          <w:color w:val="275D7F"/>
          <w:spacing w:val="0"/>
          <w:sz w:val="28"/>
        </w:rPr>
      </w:r>
    </w:p>
    <w:p>
      <w:pPr>
        <w:sectPr>
          <w:type w:val="continuous"/>
          <w:pgSz w:w="11906" w:h="16838"/>
          <w:pgMar w:left="1185" w:right="716" w:header="0" w:top="426" w:footer="0" w:bottom="1134" w:gutter="0"/>
          <w:formProt w:val="false"/>
          <w:textDirection w:val="lrTb"/>
          <w:docGrid w:type="default" w:linePitch="326" w:charSpace="4096"/>
        </w:sectPr>
      </w:pPr>
    </w:p>
    <w:p>
      <w:pPr>
        <w:pStyle w:val="1"/>
        <w:widowControl/>
        <w:spacing w:lineRule="exact" w:line="240" w:before="0" w:after="0"/>
        <w:ind w:left="-426" w:firstLine="426"/>
        <w:jc w:val="center"/>
        <w:rPr>
          <w:rFonts w:ascii="Arial;sans-serif" w:hAnsi="Arial;sans-serif"/>
          <w:b/>
          <w:i w:val="false"/>
          <w:caps w:val="false"/>
          <w:smallCaps w:val="false"/>
          <w:color w:val="275D7F"/>
          <w:spacing w:val="0"/>
          <w:sz w:val="28"/>
        </w:rPr>
      </w:pPr>
      <w:r>
        <w:rPr>
          <w:rFonts w:ascii="Arial;sans-serif" w:hAnsi="Arial;sans-serif"/>
          <w:b/>
          <w:i w:val="false"/>
          <w:caps w:val="false"/>
          <w:smallCaps w:val="false"/>
          <w:color w:val="275D7F"/>
          <w:spacing w:val="0"/>
          <w:sz w:val="28"/>
        </w:rPr>
      </w:r>
    </w:p>
    <w:p>
      <w:pPr>
        <w:sectPr>
          <w:type w:val="continuous"/>
          <w:pgSz w:w="11906" w:h="16838"/>
          <w:pgMar w:left="1185" w:right="716" w:header="0" w:top="426" w:footer="0" w:bottom="1134" w:gutter="0"/>
          <w:formProt w:val="false"/>
          <w:textDirection w:val="lrTb"/>
          <w:docGrid w:type="default" w:linePitch="326" w:charSpace="4096"/>
        </w:sectPr>
      </w:pPr>
    </w:p>
    <w:p>
      <w:pPr>
        <w:pStyle w:val="Style21"/>
        <w:widowControl/>
        <w:pBdr/>
        <w:spacing w:before="0" w:after="0"/>
        <w:ind w:left="0" w:right="0" w:hanging="0"/>
        <w:jc w:val="both"/>
        <w:rPr>
          <w:rFonts w:ascii="Times New Roman" w:hAnsi="Times New Roman"/>
          <w:b/>
          <w:b/>
        </w:rPr>
      </w:pPr>
      <w:r>
        <w:rPr/>
        <w:t>Сегодня для противодействия коррупции среди муниципальных служащих и снижения ее уровня законодателем сформирована достаточно серьезная антикоррупционная правовая база. Приняты Федеральный закон РФ от 25 декабря 2008 г. № 273-ФЗ "О противодействии коррупции", целый ряд указов Президента РФ, также внесены соответствующие изменения в уже действующее законодательство о муниципальной и государственной службе, в частности, в Федеральный закон РФ № 25-ФЗ "О муниципальной службе в Российской Федерации" и в Федеральный закон РФ № 79-ФЗ "О государственной гражданской службе Российской Федерации".</w:t>
      </w:r>
    </w:p>
    <w:p>
      <w:pPr>
        <w:pStyle w:val="Style21"/>
        <w:widowControl/>
        <w:pBdr/>
        <w:spacing w:before="0" w:after="0"/>
        <w:ind w:left="0" w:right="0" w:hanging="0"/>
        <w:jc w:val="both"/>
        <w:rPr>
          <w:rFonts w:ascii="Times New Roman" w:hAnsi="Times New Roman"/>
          <w:b/>
          <w:b/>
        </w:rPr>
      </w:pPr>
      <w:r>
        <w:rPr>
          <w:rFonts w:ascii="Arial;sans-serif" w:hAnsi="Arial;sans-serif"/>
          <w:b w:val="false"/>
          <w:i w:val="false"/>
          <w:caps w:val="false"/>
          <w:smallCaps w:val="false"/>
          <w:color w:val="333333"/>
          <w:spacing w:val="0"/>
          <w:sz w:val="20"/>
        </w:rPr>
        <w:t>Согласно статье 13 Федерального закона РФ "О противодействии коррупции" за совершение коррупционных правонарушений физическими лицами (и муниципальными служащими в том числе) предусмотрены такие виды юридической ответственности, как дисциплинарная, гражданско-правовая, административная и уголовная.</w:t>
      </w:r>
    </w:p>
    <w:p>
      <w:pPr>
        <w:pStyle w:val="Style21"/>
        <w:widowControl/>
        <w:pBdr/>
        <w:spacing w:before="0" w:after="0"/>
        <w:ind w:left="0" w:right="0" w:hanging="0"/>
        <w:jc w:val="both"/>
        <w:rPr>
          <w:rFonts w:ascii="Times New Roman" w:hAnsi="Times New Roman"/>
          <w:b/>
          <w:b/>
        </w:rPr>
      </w:pPr>
      <w:r>
        <w:rPr>
          <w:rFonts w:ascii="Arial;sans-serif" w:hAnsi="Arial;sans-serif"/>
          <w:b w:val="false"/>
          <w:i w:val="false"/>
          <w:caps w:val="false"/>
          <w:smallCaps w:val="false"/>
          <w:color w:val="333333"/>
          <w:spacing w:val="0"/>
          <w:sz w:val="20"/>
        </w:rPr>
        <w:t>Если говорить о дисциплинарной мере ответственности, стоит отметить, что, она применяется в качестве доминирующего вида юридической ответственности в системе муниципальной службы. Так, основанием привлечения муниципального служащего к дисциплинарной ответственности является неисполнение либо ненадлежащее исполнение им своих служебных обязанностей (в частности, допущение нарушения антикоррупционного законодательства). При наличии его вины руководитель муниципального органа имеет право применить такие виды дисциплинарного взыскания, как замечание, выговор либо увольнение с муниципальной службы, в зависимости от степени значительности совершенного им правонарушения. В случае если руководителем муниципального органа не будут приняты меры дисциплинарного воздействия в отношении подчиненных ему сотрудников, которые допустили нарушения антикоррупционного законодательства, то подобное бездействие будет являться правонарушением, которое должно повлечь его увольнение.</w:t>
      </w:r>
    </w:p>
    <w:p>
      <w:pPr>
        <w:pStyle w:val="Style21"/>
        <w:widowControl/>
        <w:pBdr/>
        <w:spacing w:before="0" w:after="0"/>
        <w:ind w:left="0" w:right="0" w:hanging="0"/>
        <w:jc w:val="both"/>
        <w:rPr>
          <w:rFonts w:ascii="Times New Roman" w:hAnsi="Times New Roman"/>
          <w:b/>
          <w:b/>
        </w:rPr>
      </w:pPr>
      <w:r>
        <w:rPr>
          <w:rFonts w:ascii="Arial;sans-serif" w:hAnsi="Arial;sans-serif"/>
          <w:b w:val="false"/>
          <w:i w:val="false"/>
          <w:caps w:val="false"/>
          <w:smallCaps w:val="false"/>
          <w:color w:val="333333"/>
          <w:spacing w:val="0"/>
          <w:sz w:val="20"/>
        </w:rPr>
        <w:t>Что касается гражданско-правовой ответственности муниципальных служащих за совершение правонарушений коррупционной направленности, то она регулируется положениями Гражданского кодекса Российской Федерации. Так, исходя из содержания статьи 1064 ГК РФ, вред, который причинен личности либо имуществу гражданина, юридического лица, в том числе и совершением коррупционного правонарушения, подлежит возмещению в полном объеме тем лицом, которое причинило вред.</w:t>
      </w:r>
    </w:p>
    <w:p>
      <w:pPr>
        <w:pStyle w:val="Style21"/>
        <w:widowControl/>
        <w:pBdr/>
        <w:spacing w:before="0" w:after="0"/>
        <w:ind w:left="0" w:right="0" w:hanging="0"/>
        <w:jc w:val="both"/>
        <w:rPr>
          <w:rFonts w:ascii="Times New Roman" w:hAnsi="Times New Roman"/>
          <w:b/>
          <w:b/>
        </w:rPr>
      </w:pPr>
      <w:r>
        <w:rPr>
          <w:rFonts w:ascii="Arial;sans-serif" w:hAnsi="Arial;sans-serif"/>
          <w:b w:val="false"/>
          <w:i w:val="false"/>
          <w:caps w:val="false"/>
          <w:smallCaps w:val="false"/>
          <w:color w:val="333333"/>
          <w:spacing w:val="0"/>
          <w:sz w:val="20"/>
        </w:rPr>
        <w:t>При этом вред возмещается не самим причинителем непосредственно, а за счет казны Российской Федерации, казны субъекта Российской Федерации или казны муниципального образования.</w:t>
      </w:r>
    </w:p>
    <w:p>
      <w:pPr>
        <w:pStyle w:val="Style21"/>
        <w:widowControl/>
        <w:pBdr/>
        <w:spacing w:before="0" w:after="0"/>
        <w:ind w:left="0" w:right="0" w:hanging="0"/>
        <w:jc w:val="both"/>
        <w:rPr>
          <w:rFonts w:ascii="Times New Roman" w:hAnsi="Times New Roman"/>
          <w:b/>
          <w:b/>
        </w:rPr>
      </w:pPr>
      <w:r>
        <w:rPr>
          <w:caps w:val="false"/>
          <w:smallCaps w:val="false"/>
          <w:color w:val="333333"/>
          <w:spacing w:val="0"/>
        </w:rPr>
        <w:t> </w:t>
      </w:r>
    </w:p>
    <w:p>
      <w:pPr>
        <w:pStyle w:val="Style21"/>
        <w:widowControl/>
        <w:pBdr/>
        <w:spacing w:before="0" w:after="0"/>
        <w:ind w:left="0" w:right="0" w:hanging="0"/>
        <w:jc w:val="both"/>
        <w:rPr>
          <w:rFonts w:ascii="Times New Roman" w:hAnsi="Times New Roman"/>
          <w:b/>
          <w:b/>
        </w:rPr>
      </w:pPr>
      <w:r>
        <w:rPr>
          <w:rFonts w:ascii="Arial;sans-serif" w:hAnsi="Arial;sans-serif"/>
          <w:b w:val="false"/>
          <w:i w:val="false"/>
          <w:caps w:val="false"/>
          <w:smallCaps w:val="false"/>
          <w:color w:val="333333"/>
          <w:spacing w:val="0"/>
          <w:sz w:val="20"/>
        </w:rPr>
        <w:t>Административная ответственность муниципальных служащих за коррупционные правонарушения регулируется Кодексом Российской Федерации об административных правонарушениях. Так указанным Кодексом установлена административная ответственность более чем за 20 правонарушений коррупционной направленности, в том числе предусмотренных ст.ст. 7.29.- 7.32., 13.11., 13.14., 15.21., 19.28., 19.29. Указанные статьи преимущественно связаны с нарушениями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ответственность за совершение подобных деяний предусмотрена в виде предупреждения, административного штрафа, а также такой вид административной ответственности, как конфискация денег, послуживших взяткой.</w:t>
      </w:r>
    </w:p>
    <w:p>
      <w:pPr>
        <w:pStyle w:val="Style21"/>
        <w:widowControl/>
        <w:pBdr/>
        <w:spacing w:before="0" w:after="0"/>
        <w:ind w:left="0" w:right="0" w:hanging="0"/>
        <w:jc w:val="both"/>
        <w:rPr>
          <w:rFonts w:ascii="Times New Roman" w:hAnsi="Times New Roman"/>
          <w:b/>
          <w:b/>
        </w:rPr>
      </w:pPr>
      <w:r>
        <w:rPr>
          <w:rFonts w:ascii="Arial;sans-serif" w:hAnsi="Arial;sans-serif"/>
          <w:b w:val="false"/>
          <w:i w:val="false"/>
          <w:caps w:val="false"/>
          <w:smallCaps w:val="false"/>
          <w:color w:val="333333"/>
          <w:spacing w:val="0"/>
          <w:sz w:val="20"/>
        </w:rPr>
        <w:t>Самой строгой мерой юридической ответственности за совершение муниципальным служащим преступления коррупционной направленности является уголовная. Так, к числу уголовно наказуемых преступлений относятся такие деяния коррупционной направленности, как мошенничество (ст. 159 УК РФ), злоупотребление полномочиями (ст. 201 УК РФ), коммерческий подкуп (ст. 2014 УК РФ), злоупотребление должностными полномочиями (ст. 285 УК РФ), получение либо дача взятки (ст.ст. 290,291 УК РФ), посредничество во взяточничестве (ст. 291.1. УК РФ), служебный подлог (ст. 292 УК РФ), провокация взятки либо коммерческого подкупа (ст. 304 УК РФ). Подобные правонарушения, исходя из положений Уголовного кодексом Российской Федерации, могут наказываться штрафом, лишением права занимать руководящую должность, исправительными либо принудительными работами, а также лишением свободы на определенный срок.</w:t>
      </w:r>
    </w:p>
    <w:p>
      <w:pPr>
        <w:sectPr>
          <w:type w:val="continuous"/>
          <w:pgSz w:w="11906" w:h="16838"/>
          <w:pgMar w:left="1185" w:right="716" w:header="0" w:top="426" w:footer="0" w:bottom="1134" w:gutter="0"/>
          <w:formProt w:val="false"/>
          <w:textDirection w:val="lrTb"/>
          <w:docGrid w:type="default" w:linePitch="326" w:charSpace="4096"/>
        </w:sectPr>
      </w:pPr>
    </w:p>
    <w:p>
      <w:pPr>
        <w:pStyle w:val="Normal"/>
        <w:spacing w:lineRule="exact" w:line="240" w:before="0" w:after="0"/>
        <w:ind w:left="-426" w:firstLine="426"/>
        <w:rPr>
          <w:rFonts w:ascii="Times New Roman" w:hAnsi="Times New Roman"/>
          <w:b/>
          <w:b/>
        </w:rPr>
      </w:pPr>
      <w:r>
        <w:rPr/>
      </w:r>
    </w:p>
    <w:sectPr>
      <w:type w:val="continuous"/>
      <w:pgSz w:w="11906" w:h="16838"/>
      <w:pgMar w:left="1185" w:right="716" w:header="0" w:top="426"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Arial">
    <w:altName w:val="sans-serif"/>
    <w:charset w:val="cc"/>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ea8"/>
    <w:pPr>
      <w:widowControl/>
      <w:suppressAutoHyphens w:val="fals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Style20"/>
    <w:next w:val="Style21"/>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5"/>
    <w:uiPriority w:val="99"/>
    <w:semiHidden/>
    <w:qFormat/>
    <w:locked/>
    <w:rsid w:val="005268f8"/>
    <w:rPr>
      <w:rFonts w:ascii="Times New Roman" w:hAnsi="Times New Roman" w:cs="Times New Roman"/>
      <w:sz w:val="2"/>
      <w:lang w:eastAsia="en-US"/>
    </w:rPr>
  </w:style>
  <w:style w:type="character" w:styleId="2" w:customStyle="1">
    <w:name w:val="Основной текст 2 Знак"/>
    <w:basedOn w:val="DefaultParagraphFont"/>
    <w:link w:val="2"/>
    <w:uiPriority w:val="99"/>
    <w:qFormat/>
    <w:rsid w:val="00a2790a"/>
    <w:rPr>
      <w:rFonts w:ascii="Times New Roman" w:hAnsi="Times New Roman" w:eastAsia="Times New Roman"/>
    </w:rPr>
  </w:style>
  <w:style w:type="character" w:styleId="Style14" w:customStyle="1">
    <w:name w:val="Основной текст Знак"/>
    <w:basedOn w:val="DefaultParagraphFont"/>
    <w:link w:val="a8"/>
    <w:uiPriority w:val="99"/>
    <w:semiHidden/>
    <w:qFormat/>
    <w:rsid w:val="00b6171f"/>
    <w:rPr>
      <w:lang w:eastAsia="en-US"/>
    </w:rPr>
  </w:style>
  <w:style w:type="character" w:styleId="Style15" w:customStyle="1">
    <w:name w:val="Текст сноски Знак"/>
    <w:basedOn w:val="DefaultParagraphFont"/>
    <w:link w:val="aa"/>
    <w:uiPriority w:val="99"/>
    <w:qFormat/>
    <w:rsid w:val="001925e9"/>
    <w:rPr>
      <w:rFonts w:ascii="Times New Roman" w:hAnsi="Times New Roman" w:eastAsia="Times New Roman"/>
      <w:sz w:val="20"/>
      <w:szCs w:val="20"/>
    </w:rPr>
  </w:style>
  <w:style w:type="character" w:styleId="Style16">
    <w:name w:val="Привязка сноски"/>
    <w:rPr>
      <w:rFonts w:ascii="Times New Roman" w:hAnsi="Times New Roman" w:cs="Times New Roman"/>
      <w:vertAlign w:val="superscript"/>
    </w:rPr>
  </w:style>
  <w:style w:type="character" w:styleId="FootnoteCharacters">
    <w:name w:val="Footnote Characters"/>
    <w:uiPriority w:val="99"/>
    <w:qFormat/>
    <w:rsid w:val="001925e9"/>
    <w:rPr>
      <w:rFonts w:ascii="Times New Roman" w:hAnsi="Times New Roman" w:cs="Times New Roman"/>
      <w:vertAlign w:val="superscript"/>
    </w:rPr>
  </w:style>
  <w:style w:type="character" w:styleId="Style17">
    <w:name w:val="Интернет-ссылка"/>
    <w:uiPriority w:val="99"/>
    <w:rsid w:val="001925e9"/>
    <w:rPr>
      <w:rFonts w:cs="Times New Roman"/>
      <w:color w:val="0000FF"/>
      <w:u w:val="single"/>
    </w:rPr>
  </w:style>
  <w:style w:type="character" w:styleId="Style18">
    <w:name w:val="Символ сноски"/>
    <w:qFormat/>
    <w:rPr/>
  </w:style>
  <w:style w:type="character" w:styleId="Style19">
    <w:name w:val="Основной шрифт абзаца"/>
    <w:qFormat/>
    <w:rPr/>
  </w:style>
  <w:style w:type="character" w:styleId="Jsphonenumber">
    <w:name w:val="js-phone-number"/>
    <w:basedOn w:val="Style19"/>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9"/>
    <w:uiPriority w:val="99"/>
    <w:semiHidden/>
    <w:unhideWhenUsed/>
    <w:rsid w:val="00b6171f"/>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99"/>
    <w:qFormat/>
    <w:rsid w:val="00847123"/>
    <w:pPr>
      <w:spacing w:before="0" w:after="200"/>
      <w:ind w:left="720" w:hanging="0"/>
      <w:contextualSpacing/>
    </w:pPr>
    <w:rPr/>
  </w:style>
  <w:style w:type="paragraph" w:styleId="BalloonText">
    <w:name w:val="Balloon Text"/>
    <w:basedOn w:val="Normal"/>
    <w:link w:val="a6"/>
    <w:uiPriority w:val="99"/>
    <w:semiHidden/>
    <w:qFormat/>
    <w:rsid w:val="00aa1ea8"/>
    <w:pPr/>
    <w:rPr>
      <w:rFonts w:ascii="Tahoma" w:hAnsi="Tahoma" w:cs="Tahoma"/>
      <w:sz w:val="16"/>
      <w:szCs w:val="16"/>
    </w:rPr>
  </w:style>
  <w:style w:type="paragraph" w:styleId="BodyText2">
    <w:name w:val="Body Text 2"/>
    <w:basedOn w:val="Normal"/>
    <w:link w:val="20"/>
    <w:uiPriority w:val="99"/>
    <w:qFormat/>
    <w:rsid w:val="00a2790a"/>
    <w:pPr>
      <w:overflowPunct w:val="true"/>
      <w:spacing w:lineRule="auto" w:line="240" w:before="0" w:after="0"/>
      <w:textAlignment w:val="baseline"/>
    </w:pPr>
    <w:rPr>
      <w:rFonts w:ascii="Times New Roman" w:hAnsi="Times New Roman" w:eastAsia="Times New Roman"/>
      <w:lang w:eastAsia="ru-RU"/>
    </w:rPr>
  </w:style>
  <w:style w:type="paragraph" w:styleId="NoSpacing">
    <w:name w:val="No Spacing"/>
    <w:uiPriority w:val="99"/>
    <w:qFormat/>
    <w:rsid w:val="008d695b"/>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25">
    <w:name w:val="Footnote Text"/>
    <w:basedOn w:val="Normal"/>
    <w:link w:val="ab"/>
    <w:uiPriority w:val="99"/>
    <w:rsid w:val="001925e9"/>
    <w:pPr>
      <w:spacing w:lineRule="auto" w:line="240" w:before="0" w:after="0"/>
    </w:pPr>
    <w:rPr>
      <w:rFonts w:ascii="Times New Roman" w:hAnsi="Times New Roman" w:eastAsia="Times New Roman"/>
      <w:sz w:val="20"/>
      <w:szCs w:val="20"/>
      <w:lang w:eastAsia="ru-RU"/>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99"/>
    <w:rsid w:val="00930422"/>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248F-1B6C-4B3A-8890-E7468E85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LibreOffice/7.0.5.2$Windows_X86_64 LibreOffice_project/64390860c6cd0aca4beafafcfd84613dd9dfb63a</Application>
  <AppVersion>15.0000</AppVersion>
  <DocSecurity>0</DocSecurity>
  <Pages>1</Pages>
  <Words>493</Words>
  <Characters>3783</Characters>
  <CharactersWithSpaces>4269</CharactersWithSpaces>
  <Paragraphs>9</Paragraphs>
  <Company>Buch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2018-07-04T12:28:00Z</dcterms:created>
  <dc:creator>Volosatova</dc:creator>
  <dc:description/>
  <dc:language>ru-RU</dc:language>
  <cp:lastModifiedBy/>
  <cp:lastPrinted>2017-01-25T06:58:00Z</cp:lastPrinted>
  <dcterms:modified xsi:type="dcterms:W3CDTF">2021-12-26T13:11:58Z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