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ackground w:color="FFFFFF">
    <v:background id="_x0000_s1025" fillcolor="#FFFFFF"/>
  </w:background>
  <w:body>
    <w:p>
      <w:pPr>
        <w:pStyle w:val="957"/>
        <w:widowControl w:val="true"/>
        <w:pBdr/>
        <w:spacing/>
        <w:ind w:right="0" w:firstLine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auto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auto"/>
        </w:rPr>
        <w:t xml:space="preserve">АНАЛИЗ</w:t>
      </w:r>
      <w:r>
        <w:rPr>
          <w:rFonts w:ascii="Times New Roman" w:hAnsi="Times New Roman" w:cs="Times New Roman"/>
          <w:b/>
          <w:sz w:val="28"/>
          <w:szCs w:val="28"/>
          <w:shd w:val="clear" w:color="auto" w:fill="auto"/>
        </w:rPr>
      </w:r>
      <w:r>
        <w:rPr>
          <w:rFonts w:ascii="Times New Roman" w:hAnsi="Times New Roman" w:cs="Times New Roman"/>
          <w:b/>
          <w:sz w:val="28"/>
          <w:szCs w:val="28"/>
          <w:shd w:val="clear" w:color="auto" w:fill="auto"/>
        </w:rPr>
      </w:r>
    </w:p>
    <w:p>
      <w:pPr>
        <w:pStyle w:val="957"/>
        <w:widowControl w:val="true"/>
        <w:pBdr/>
        <w:spacing/>
        <w:ind w:right="0" w:firstLine="0"/>
        <w:jc w:val="center"/>
        <w:rPr>
          <w:b/>
          <w:sz w:val="28"/>
          <w:szCs w:val="28"/>
          <w:shd w:val="clear" w:color="auto" w:fill="auto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auto"/>
        </w:rPr>
        <w:t xml:space="preserve">обращений граждан, поступивших на рассмотрение в Управление труда и социальной защиты населения администрации Грачевского муниципального округа за </w:t>
      </w:r>
      <w:r>
        <w:rPr>
          <w:rFonts w:ascii="Times New Roman" w:hAnsi="Times New Roman" w:cs="Times New Roman"/>
          <w:b/>
          <w:sz w:val="28"/>
          <w:szCs w:val="28"/>
          <w:shd w:val="clear" w:color="auto" w:fill="auto"/>
          <w:lang w:val="en-US"/>
        </w:rPr>
        <w:t xml:space="preserve">1</w:t>
      </w:r>
      <w:r>
        <w:rPr>
          <w:rFonts w:ascii="Times New Roman" w:hAnsi="Times New Roman" w:cs="Times New Roman"/>
          <w:b/>
          <w:sz w:val="28"/>
          <w:szCs w:val="28"/>
          <w:shd w:val="clear" w:color="auto" w:fill="auto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shd w:val="clear" w:color="auto" w:fill="auto"/>
        </w:rPr>
        <w:t xml:space="preserve">полугодие 2026 года</w:t>
      </w:r>
      <w:r>
        <w:rPr>
          <w:b/>
          <w:sz w:val="28"/>
          <w:szCs w:val="28"/>
          <w:shd w:val="clear" w:color="auto" w:fill="auto"/>
        </w:rPr>
      </w:r>
      <w:r>
        <w:rPr>
          <w:b/>
          <w:sz w:val="28"/>
          <w:szCs w:val="28"/>
          <w:shd w:val="clear" w:color="auto" w:fill="auto"/>
        </w:rPr>
      </w:r>
    </w:p>
    <w:p>
      <w:pPr>
        <w:pStyle w:val="957"/>
        <w:widowControl w:val="true"/>
        <w:pBdr/>
        <w:spacing/>
        <w:ind w:right="0" w:firstLine="1080"/>
        <w:jc w:val="center"/>
        <w:rPr>
          <w:b/>
          <w:sz w:val="28"/>
          <w:szCs w:val="28"/>
          <w:shd w:val="clear" w:color="auto" w:fill="auto"/>
        </w:rPr>
      </w:pPr>
      <w:r>
        <w:rPr>
          <w:b/>
          <w:sz w:val="28"/>
          <w:szCs w:val="28"/>
          <w:shd w:val="clear" w:color="auto" w:fill="auto"/>
        </w:rPr>
      </w:r>
      <w:r>
        <w:rPr>
          <w:b/>
          <w:sz w:val="28"/>
          <w:szCs w:val="28"/>
          <w:shd w:val="clear" w:color="auto" w:fill="auto"/>
        </w:rPr>
      </w:r>
      <w:r>
        <w:rPr>
          <w:b/>
          <w:sz w:val="28"/>
          <w:szCs w:val="28"/>
          <w:shd w:val="clear" w:color="auto" w:fill="auto"/>
        </w:rPr>
      </w:r>
    </w:p>
    <w:p>
      <w:pPr>
        <w:pStyle w:val="948"/>
        <w:pBdr/>
        <w:spacing/>
        <w:ind/>
        <w:jc w:val="center"/>
        <w:rPr>
          <w:b/>
          <w:shd w:val="clear" w:color="auto" w:fill="auto"/>
        </w:rPr>
      </w:pPr>
      <w:r>
        <w:rPr>
          <w:b/>
          <w:shd w:val="clear" w:color="auto" w:fill="auto"/>
          <w:lang w:val="en-US"/>
        </w:rPr>
        <w:t xml:space="preserve">I</w:t>
      </w:r>
      <w:r>
        <w:rPr>
          <w:b/>
          <w:shd w:val="clear" w:color="auto" w:fill="auto"/>
        </w:rPr>
        <w:t xml:space="preserve">. Обращения граждан</w:t>
      </w: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</w:p>
    <w:p>
      <w:pPr>
        <w:pStyle w:val="948"/>
        <w:pBdr/>
        <w:spacing/>
        <w:ind/>
        <w:jc w:val="center"/>
        <w:rPr>
          <w:b/>
          <w:shd w:val="clear" w:color="auto" w:fill="auto"/>
        </w:rPr>
      </w:pP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</w:p>
    <w:p>
      <w:pPr>
        <w:pStyle w:val="962"/>
        <w:pBdr/>
        <w:spacing w:after="0" w:before="0" w:line="240" w:lineRule="auto"/>
        <w:ind w:right="0" w:firstLine="709" w:left="0"/>
        <w:jc w:val="both"/>
        <w:rPr>
          <w:shd w:val="clear" w:color="auto" w:fill="auto"/>
        </w:rPr>
      </w:pP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Работа с обращениями граждан в 1 полугодии </w:t>
      </w:r>
      <w:r>
        <w:rPr>
          <w:sz w:val="28"/>
          <w:szCs w:val="28"/>
          <w:shd w:val="clear" w:color="auto" w:fill="auto"/>
        </w:rPr>
        <w:t xml:space="preserve">2026 года Управлением труда и социальной защиты населен</w:t>
      </w:r>
      <w:r>
        <w:rPr>
          <w:sz w:val="28"/>
          <w:szCs w:val="28"/>
          <w:shd w:val="clear" w:color="auto" w:fill="auto"/>
        </w:rPr>
        <w:t xml:space="preserve">ия администрации Грачевского муниципального округа (далее по тексту – Управление) осуществлялась в соответствии с Федеральным законом от 02.05.2006 г. № 59-ФЗ «О порядке рассмотрения обращений граждан в Российской Федерации», Регламентом работы Управления.</w:t>
      </w:r>
      <w:r>
        <w:rPr>
          <w:shd w:val="clear" w:color="auto" w:fill="auto"/>
        </w:rPr>
      </w:r>
      <w:r>
        <w:rPr>
          <w:shd w:val="clear" w:color="auto" w:fill="auto"/>
        </w:rPr>
      </w:r>
    </w:p>
    <w:p>
      <w:pPr>
        <w:pStyle w:val="948"/>
        <w:pBdr/>
        <w:spacing/>
        <w:ind w:right="0" w:firstLine="709"/>
        <w:rPr>
          <w:sz w:val="28"/>
          <w:szCs w:val="28"/>
          <w:shd w:val="clear" w:color="auto" w:fill="auto"/>
        </w:rPr>
      </w:pPr>
      <w:r>
        <w:rPr>
          <w:shd w:val="clear" w:color="auto" w:fill="auto"/>
        </w:rPr>
        <w:t xml:space="preserve">В связи с особым вниманием государственных и муниципальных органов</w:t>
      </w:r>
      <w:r>
        <w:rPr>
          <w:shd w:val="clear" w:color="auto" w:fill="auto"/>
        </w:rPr>
        <w:t xml:space="preserve"> исполнительной власти к работе с обращениями граждан, анализ  обращений граждан проводится ежеквартально, порядок рассмотрения жалоб, заявлений и предложений граждан и организаций определен разделом   6 Регламента работы Управления. </w:t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31"/>
        <w:pBdr/>
        <w:spacing/>
        <w:ind w:right="0" w:firstLine="709"/>
        <w:jc w:val="both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  <w:t xml:space="preserve">В анализируемом периоде текущего года  в Управление поступило</w:t>
      </w:r>
      <w:r>
        <w:rPr>
          <w:color w:val="000000"/>
          <w:sz w:val="28"/>
          <w:szCs w:val="28"/>
          <w:shd w:val="clear" w:color="auto" w:fill="auto"/>
        </w:rPr>
        <w:t xml:space="preserve">         </w:t>
      </w:r>
      <w:r>
        <w:rPr>
          <w:sz w:val="28"/>
          <w:szCs w:val="28"/>
          <w:shd w:val="clear" w:color="auto" w:fill="auto"/>
        </w:rPr>
        <w:t xml:space="preserve">33 обращени</w:t>
      </w:r>
      <w:r>
        <w:rPr>
          <w:sz w:val="28"/>
          <w:szCs w:val="28"/>
          <w:shd w:val="clear" w:color="auto" w:fill="auto"/>
        </w:rPr>
        <w:t xml:space="preserve">я (АП 2025 г. - </w:t>
      </w:r>
      <w:r>
        <w:rPr>
          <w:sz w:val="28"/>
          <w:szCs w:val="28"/>
          <w:shd w:val="clear" w:color="auto" w:fill="auto"/>
        </w:rPr>
        <w:t xml:space="preserve">21 обращение). </w:t>
      </w:r>
      <w:r>
        <w:rPr>
          <w:sz w:val="28"/>
          <w:szCs w:val="28"/>
          <w:shd w:val="clear" w:color="auto" w:fill="auto"/>
        </w:rPr>
        <w:t xml:space="preserve">32 обращени</w:t>
      </w:r>
      <w:r>
        <w:rPr>
          <w:sz w:val="28"/>
          <w:szCs w:val="28"/>
          <w:shd w:val="clear" w:color="auto" w:fill="auto"/>
        </w:rPr>
        <w:t xml:space="preserve">я поступил</w:t>
      </w:r>
      <w:r>
        <w:rPr>
          <w:sz w:val="28"/>
          <w:szCs w:val="28"/>
          <w:shd w:val="clear" w:color="auto" w:fill="auto"/>
        </w:rPr>
        <w:t xml:space="preserve">о в Управление из администрации Грачевского муниципального округа Ставропольского края (из поступивших: 16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 </w:t>
      </w:r>
      <w:r>
        <w:rPr>
          <w:sz w:val="28"/>
          <w:szCs w:val="28"/>
          <w:shd w:val="clear" w:color="auto" w:fill="auto"/>
        </w:rPr>
        <w:t xml:space="preserve">- на имя Президента РФ,                      6 - Правительство РФ, 8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 —</w:t>
      </w:r>
      <w:r>
        <w:rPr>
          <w:sz w:val="28"/>
          <w:szCs w:val="28"/>
          <w:shd w:val="clear" w:color="auto" w:fill="auto"/>
        </w:rPr>
        <w:t xml:space="preserve"> в АГМО, 1 – Шпаковский следственный отдел. 1- МКСК). </w:t>
      </w:r>
      <w:r>
        <w:rPr>
          <w:sz w:val="28"/>
          <w:szCs w:val="28"/>
          <w:shd w:val="clear" w:color="auto" w:fill="auto"/>
        </w:rPr>
        <w:t xml:space="preserve">1 обращение поступило в Управление из МКСК.</w:t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31"/>
        <w:pBdr/>
        <w:spacing/>
        <w:ind w:right="0" w:firstLine="709"/>
        <w:jc w:val="both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  <w:t xml:space="preserve">Информация об источниках поступления обращений граждан в Управление представлена в таблице 1.</w:t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31"/>
        <w:pBdr/>
        <w:spacing/>
        <w:ind w:right="0" w:firstLine="709"/>
        <w:jc w:val="right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31"/>
        <w:pBdr/>
        <w:spacing/>
        <w:ind w:right="0" w:firstLine="709"/>
        <w:jc w:val="right"/>
        <w:rPr>
          <w:b/>
          <w:i/>
          <w:shd w:val="clear" w:color="auto" w:fill="auto"/>
        </w:rPr>
      </w:pPr>
      <w:r>
        <w:rPr>
          <w:shd w:val="clear" w:color="auto" w:fill="auto"/>
        </w:rPr>
        <w:t xml:space="preserve">Таблица 1</w:t>
      </w:r>
      <w:r>
        <w:rPr>
          <w:b/>
          <w:i/>
          <w:shd w:val="clear" w:color="auto" w:fill="auto"/>
        </w:rPr>
      </w:r>
      <w:r>
        <w:rPr>
          <w:b/>
          <w:i/>
          <w:shd w:val="clear" w:color="auto" w:fill="auto"/>
        </w:rPr>
      </w:r>
    </w:p>
    <w:tbl>
      <w:tblPr>
        <w:tblInd w:w="-153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070"/>
        <w:gridCol w:w="804"/>
        <w:gridCol w:w="1464"/>
        <w:gridCol w:w="1003"/>
        <w:gridCol w:w="1554"/>
        <w:gridCol w:w="9"/>
      </w:tblGrid>
      <w:tr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b/>
                <w:i/>
                <w:shd w:val="clear" w:color="auto" w:fill="auto"/>
              </w:rPr>
            </w:pPr>
            <w:r>
              <w:rPr>
                <w:b/>
                <w:i/>
                <w:shd w:val="clear" w:color="auto" w:fill="auto"/>
              </w:rPr>
            </w:r>
            <w:r>
              <w:rPr>
                <w:b/>
                <w:i/>
                <w:shd w:val="clear" w:color="auto" w:fill="auto"/>
              </w:rPr>
            </w:r>
            <w:r>
              <w:rPr>
                <w:b/>
                <w:i/>
                <w:shd w:val="clear" w:color="auto" w:fil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b/>
                <w:shd w:val="clear" w:color="auto" w:fill="auto"/>
              </w:rPr>
            </w:pPr>
            <w:r>
              <w:rPr>
                <w:rFonts w:eastAsia="Times New Roman" w:cs="Times New Roman"/>
                <w:b/>
                <w:i w:val="0"/>
                <w:iCs w:val="0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 пол.</w:t>
            </w:r>
            <w:r>
              <w:rPr>
                <w:b/>
                <w:i w:val="0"/>
                <w:iCs w:val="0"/>
                <w:shd w:val="clear" w:color="auto" w:fill="auto"/>
              </w:rPr>
              <w:t xml:space="preserve"> </w:t>
            </w: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</w:p>
          <w:p>
            <w:pPr>
              <w:pStyle w:val="931"/>
              <w:pBdr/>
              <w:spacing/>
              <w:ind/>
              <w:jc w:val="center"/>
              <w:rPr>
                <w:b/>
                <w:shd w:val="clear" w:color="auto" w:fill="auto"/>
              </w:rPr>
            </w:pPr>
            <w:r>
              <w:rPr>
                <w:b/>
                <w:shd w:val="clear" w:color="auto" w:fill="auto"/>
              </w:rPr>
              <w:t xml:space="preserve">202</w:t>
            </w:r>
            <w:r>
              <w:rPr>
                <w:b/>
                <w:shd w:val="clear" w:color="auto" w:fill="auto"/>
              </w:rPr>
              <w:t xml:space="preserve">5</w:t>
            </w: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</w:p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b/>
                <w:shd w:val="clear" w:color="auto" w:fill="auto"/>
              </w:rPr>
              <w:t xml:space="preserve">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b/>
                <w:shd w:val="clear" w:color="auto" w:fill="auto"/>
              </w:rPr>
            </w:pPr>
            <w:r>
              <w:rPr>
                <w:b/>
                <w:shd w:val="clear" w:color="auto" w:fill="auto"/>
              </w:rPr>
              <w:t xml:space="preserve">% от </w:t>
            </w: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</w:p>
          <w:p>
            <w:pPr>
              <w:pStyle w:val="931"/>
              <w:pBdr/>
              <w:spacing/>
              <w:ind/>
              <w:jc w:val="center"/>
              <w:rPr>
                <w:b/>
                <w:shd w:val="clear" w:color="auto" w:fill="auto"/>
              </w:rPr>
            </w:pPr>
            <w:r>
              <w:rPr>
                <w:b/>
                <w:shd w:val="clear" w:color="auto" w:fill="auto"/>
              </w:rPr>
              <w:t xml:space="preserve">общего</w:t>
            </w: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</w:p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b/>
                <w:shd w:val="clear" w:color="auto" w:fill="auto"/>
              </w:rPr>
              <w:t xml:space="preserve">количества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 w14:paraId="3F40AC0D">
            <w:pPr>
              <w:pStyle w:val="931"/>
              <w:pBdr/>
              <w:spacing/>
              <w:ind/>
              <w:jc w:val="center"/>
              <w:rPr>
                <w:b/>
                <w:shd w:val="clear" w:color="auto" w:fill="auto"/>
              </w:rPr>
            </w:pPr>
            <w:r>
              <w:rPr>
                <w:rFonts w:eastAsia="Times New Roman" w:cs="Times New Roman"/>
                <w:b/>
                <w:i w:val="0"/>
                <w:iCs w:val="0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 пол.</w:t>
            </w:r>
            <w:r>
              <w:rPr>
                <w:b/>
                <w:i w:val="0"/>
                <w:iCs w:val="0"/>
                <w:shd w:val="clear" w:color="auto" w:fill="auto"/>
              </w:rPr>
              <w:t xml:space="preserve"> </w:t>
            </w: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</w:p>
          <w:p w14:paraId="42F60FAE">
            <w:pPr>
              <w:pStyle w:val="931"/>
              <w:pBdr/>
              <w:spacing/>
              <w:ind/>
              <w:jc w:val="center"/>
              <w:rPr>
                <w:b/>
                <w:shd w:val="clear" w:color="auto" w:fill="auto"/>
              </w:rPr>
            </w:pPr>
            <w:r>
              <w:rPr>
                <w:b/>
                <w:shd w:val="clear" w:color="auto" w:fill="auto"/>
              </w:rPr>
              <w:t xml:space="preserve">202</w:t>
            </w:r>
            <w:r>
              <w:rPr>
                <w:b/>
                <w:shd w:val="clear" w:color="auto" w:fill="auto"/>
              </w:rPr>
              <w:t xml:space="preserve">6</w:t>
            </w: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</w:p>
          <w:p w14:paraId="6AC98C2E">
            <w:pPr>
              <w:pStyle w:val="931"/>
              <w:pBdr/>
              <w:spacing/>
              <w:ind/>
              <w:jc w:val="center"/>
              <w:rPr/>
            </w:pPr>
            <w:r>
              <w:rPr>
                <w:b/>
                <w:shd w:val="clear" w:color="auto" w:fill="auto"/>
              </w:rPr>
              <w:t xml:space="preserve">года</w:t>
            </w:r>
            <w:r/>
          </w:p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b/>
                <w:shd w:val="clear" w:color="auto" w:fil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b/>
                <w:shd w:val="clear" w:color="auto" w:fill="auto"/>
              </w:rPr>
            </w:pPr>
            <w:r>
              <w:rPr>
                <w:b/>
                <w:shd w:val="clear" w:color="auto" w:fill="auto"/>
              </w:rPr>
              <w:t xml:space="preserve">% от </w:t>
            </w: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</w:p>
          <w:p>
            <w:pPr>
              <w:pStyle w:val="931"/>
              <w:pBdr/>
              <w:spacing/>
              <w:ind/>
              <w:jc w:val="center"/>
              <w:rPr>
                <w:b/>
                <w:shd w:val="clear" w:color="auto" w:fill="auto"/>
              </w:rPr>
            </w:pPr>
            <w:r>
              <w:rPr>
                <w:b/>
                <w:shd w:val="clear" w:color="auto" w:fill="auto"/>
              </w:rPr>
              <w:t xml:space="preserve">общего</w:t>
            </w: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</w:p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b/>
                <w:shd w:val="clear" w:color="auto" w:fill="auto"/>
              </w:rPr>
              <w:t xml:space="preserve">количества</w:t>
            </w:r>
            <w:r/>
          </w:p>
        </w:tc>
      </w:tr>
      <w:tr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b/>
                <w:shd w:val="clear" w:color="auto" w:fill="auto"/>
              </w:rPr>
              <w:t xml:space="preserve">Управление</w:t>
            </w:r>
            <w:r>
              <w:rPr>
                <w:shd w:val="clear" w:color="auto" w:fill="auto"/>
              </w:rPr>
              <w:t xml:space="preserve">, в том числе: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b/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b/>
                <w:shd w:val="clear" w:color="auto" w:fill="auto"/>
              </w:rPr>
              <w:t xml:space="preserve">-</w:t>
            </w:r>
            <w:r/>
          </w:p>
        </w:tc>
      </w:tr>
      <w:tr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заявитель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</w:tr>
      <w:tr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b/>
                <w:shd w:val="clear" w:color="auto" w:fill="auto"/>
              </w:rPr>
            </w:pPr>
            <w:r>
              <w:rPr>
                <w:b/>
                <w:shd w:val="clear" w:color="auto" w:fill="auto"/>
              </w:rPr>
              <w:t xml:space="preserve">Министерство труда и социальной</w:t>
            </w: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</w:p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b/>
                <w:shd w:val="clear" w:color="auto" w:fill="auto"/>
              </w:rPr>
              <w:t xml:space="preserve">защиты населения Ставропольского края,</w:t>
            </w:r>
            <w:r>
              <w:rPr>
                <w:shd w:val="clear" w:color="auto" w:fill="auto"/>
              </w:rPr>
              <w:t xml:space="preserve"> в том числе адресованных: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b/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b/>
                <w:shd w:val="clear" w:color="auto" w:fill="auto"/>
              </w:rPr>
              <w:t xml:space="preserve">3,03</w:t>
            </w:r>
            <w:r/>
          </w:p>
        </w:tc>
      </w:tr>
      <w:tr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Президенту РФ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</w:tr>
      <w:tr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МТСЗН РФ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</w:tr>
      <w:tr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МТСЗН 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3,03</w:t>
            </w:r>
            <w:r/>
          </w:p>
        </w:tc>
      </w:tr>
      <w:tr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Губернатору 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</w:tr>
      <w:tr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Правительство 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</w:tr>
      <w:tr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Прокурору 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</w:tr>
      <w:tr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b/>
                <w:shd w:val="clear" w:color="auto" w:fill="auto"/>
              </w:rPr>
              <w:t xml:space="preserve">Администрация Грачевского муниципального округа</w:t>
            </w:r>
            <w:r>
              <w:rPr>
                <w:shd w:val="clear" w:color="auto" w:fill="auto"/>
              </w:rPr>
              <w:t xml:space="preserve">, в том числе адресованных: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100</w:t>
            </w:r>
            <w:r>
              <w:rPr>
                <w:b/>
                <w:shd w:val="clear" w:color="auto" w:fill="auto"/>
              </w:rPr>
              <w:t xml:space="preserve">%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32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100</w:t>
            </w:r>
            <w:r>
              <w:rPr>
                <w:b/>
                <w:shd w:val="clear" w:color="auto" w:fill="auto"/>
              </w:rPr>
              <w:t xml:space="preserve">%</w:t>
            </w:r>
            <w:r/>
          </w:p>
        </w:tc>
      </w:tr>
      <w:tr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Президенту РФ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42,86%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16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48,48%</w:t>
            </w:r>
            <w:r/>
          </w:p>
        </w:tc>
      </w:tr>
      <w:tr>
        <w:trPr>
          <w:trHeight w:val="220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Правительство СК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3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14,29 %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6</w:t>
            </w:r>
            <w:r/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18,18%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Губернатору 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4,76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3,03</w:t>
            </w:r>
            <w:r>
              <w:rPr>
                <w:shd w:val="clear" w:color="auto" w:fill="auto"/>
              </w:rPr>
              <w:t xml:space="preserve">%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Дума СК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-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МТСЗН 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9,52%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3,03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Главе ГМО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4,76%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7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21,21</w:t>
            </w:r>
            <w:r>
              <w:rPr>
                <w:shd w:val="clear" w:color="auto" w:fill="auto"/>
              </w:rPr>
              <w:t xml:space="preserve">%</w:t>
            </w:r>
            <w:r/>
          </w:p>
        </w:tc>
      </w:tr>
      <w:tr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Зам. главе ГМО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-</w:t>
            </w:r>
            <w:r/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</w:tr>
      <w:tr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ПОС и госуслуги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5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23,81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</w:t>
            </w:r>
            <w:r/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3,03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b/>
                <w:bCs/>
                <w:shd w:val="clear" w:color="auto" w:fill="auto"/>
              </w:rPr>
              <w:t xml:space="preserve">Прокуратура района, в том числе адресованных: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b/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-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b/>
                <w:shd w:val="clear" w:color="auto" w:fill="auto"/>
              </w:rPr>
              <w:t xml:space="preserve">-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Прокуратура Ставропольского края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-</w:t>
            </w:r>
            <w:r/>
          </w:p>
        </w:tc>
      </w:tr>
      <w:tr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b/>
                <w:bCs/>
                <w:shd w:val="clear" w:color="auto" w:fill="auto"/>
              </w:rPr>
              <w:t xml:space="preserve">Направлено по подведомственности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b/>
                <w:bCs/>
                <w:shd w:val="clear" w:color="auto" w:fill="auto"/>
              </w:rPr>
            </w:pPr>
            <w:r>
              <w:rPr>
                <w:b/>
                <w:bCs/>
                <w:shd w:val="clear" w:color="auto" w:fill="auto"/>
              </w:rPr>
            </w:r>
            <w:r>
              <w:rPr>
                <w:b/>
                <w:bCs/>
                <w:shd w:val="clear" w:color="auto" w:fill="auto"/>
              </w:rPr>
            </w:r>
            <w:r>
              <w:rPr>
                <w:b/>
                <w:bCs/>
                <w:shd w:val="clear" w:color="auto" w:fill="auto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b/>
                <w:bCs/>
                <w:shd w:val="clear" w:color="auto" w:fill="auto"/>
              </w:rPr>
            </w:pPr>
            <w:r>
              <w:rPr>
                <w:b/>
                <w:bCs/>
                <w:shd w:val="clear" w:color="auto" w:fill="auto"/>
              </w:rPr>
            </w:r>
            <w:r>
              <w:rPr>
                <w:b/>
                <w:bCs/>
                <w:shd w:val="clear" w:color="auto" w:fill="auto"/>
              </w:rPr>
            </w:r>
            <w:r>
              <w:rPr>
                <w:b/>
                <w:bCs/>
                <w:shd w:val="clear" w:color="auto" w:fill="auto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b/>
                <w:bCs/>
                <w:shd w:val="clear" w:color="auto" w:fill="auto"/>
              </w:rPr>
            </w:pPr>
            <w:r>
              <w:rPr>
                <w:b/>
                <w:bCs/>
                <w:shd w:val="clear" w:color="auto" w:fill="auto"/>
              </w:rPr>
            </w:r>
            <w:r>
              <w:rPr>
                <w:b/>
                <w:bCs/>
                <w:shd w:val="clear" w:color="auto" w:fill="auto"/>
              </w:rPr>
            </w:r>
            <w:r>
              <w:rPr>
                <w:b/>
                <w:bCs/>
                <w:shd w:val="clear" w:color="auto" w:fill="auto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b/>
                <w:bCs/>
                <w:shd w:val="clear" w:color="auto" w:fill="auto"/>
              </w:rPr>
            </w:pPr>
            <w:r>
              <w:rPr>
                <w:b/>
                <w:bCs/>
                <w:shd w:val="clear" w:color="auto" w:fill="auto"/>
              </w:rPr>
            </w:r>
            <w:r>
              <w:rPr>
                <w:b/>
                <w:bCs/>
                <w:shd w:val="clear" w:color="auto" w:fill="auto"/>
              </w:rPr>
            </w:r>
            <w:r>
              <w:rPr>
                <w:b/>
                <w:bCs/>
                <w:shd w:val="clear" w:color="auto" w:fill="auto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b/>
                <w:i/>
                <w:shd w:val="clear" w:color="auto" w:fill="auto"/>
              </w:rPr>
              <w:t xml:space="preserve">ВСЕГО: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b/>
                <w:i/>
                <w:shd w:val="clear" w:color="auto" w:fill="auto"/>
              </w:rPr>
            </w:pPr>
            <w:r>
              <w:rPr>
                <w:b/>
                <w:i/>
                <w:shd w:val="clear" w:color="auto" w:fill="auto"/>
              </w:rPr>
            </w:r>
            <w:r>
              <w:rPr>
                <w:b/>
                <w:i/>
                <w:shd w:val="clear" w:color="auto" w:fill="auto"/>
              </w:rPr>
            </w:r>
            <w:r>
              <w:rPr>
                <w:b/>
                <w:i/>
                <w:shd w:val="clear" w:color="auto" w:fil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33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b/>
                <w:i/>
                <w:shd w:val="clear" w:color="auto" w:fill="auto"/>
              </w:rPr>
            </w:pPr>
            <w:r>
              <w:rPr>
                <w:b/>
                <w:i/>
                <w:shd w:val="clear" w:color="auto" w:fill="auto"/>
              </w:rPr>
            </w:r>
            <w:r>
              <w:rPr>
                <w:b/>
                <w:i/>
                <w:shd w:val="clear" w:color="auto" w:fill="auto"/>
              </w:rPr>
            </w:r>
            <w:r>
              <w:rPr>
                <w:b/>
                <w:i/>
                <w:shd w:val="clear" w:color="auto" w:fill="auto"/>
              </w:rPr>
            </w:r>
          </w:p>
        </w:tc>
      </w:tr>
    </w:tbl>
    <w:p>
      <w:pPr>
        <w:pStyle w:val="931"/>
        <w:pBdr/>
        <w:spacing/>
        <w:ind w:right="0" w:firstLine="709"/>
        <w:jc w:val="both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48"/>
        <w:pBdr/>
        <w:spacing/>
        <w:ind w:right="0" w:firstLine="1080"/>
        <w:jc w:val="center"/>
        <w:rPr>
          <w:b/>
          <w:shd w:val="clear" w:color="auto" w:fill="auto"/>
        </w:rPr>
      </w:pPr>
      <w:r>
        <w:rPr>
          <w:b/>
          <w:shd w:val="clear" w:color="auto" w:fill="auto"/>
          <w:lang w:val="en-US"/>
        </w:rPr>
        <w:t xml:space="preserve">I</w:t>
      </w:r>
      <w:r>
        <w:rPr>
          <w:b/>
          <w:shd w:val="clear" w:color="auto" w:fill="auto"/>
        </w:rPr>
        <w:t xml:space="preserve">I. Распределение писем граждан по населенным пунктам округа</w:t>
      </w: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</w:p>
    <w:p>
      <w:pPr>
        <w:pStyle w:val="948"/>
        <w:pBdr/>
        <w:spacing/>
        <w:ind w:right="0" w:firstLine="1080"/>
        <w:jc w:val="center"/>
        <w:rPr>
          <w:b/>
          <w:shd w:val="clear" w:color="auto" w:fill="auto"/>
        </w:rPr>
      </w:pP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</w:p>
    <w:p>
      <w:pPr>
        <w:pStyle w:val="931"/>
        <w:pBdr/>
        <w:spacing/>
        <w:ind w:right="0" w:firstLine="709"/>
        <w:jc w:val="both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  <w:t xml:space="preserve">Из поступивших на рассмотрение в Управление обращений по населенным пунктам округа они распределились следующим образом.</w:t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31"/>
        <w:pBdr/>
        <w:spacing/>
        <w:ind w:right="0" w:firstLine="709"/>
        <w:jc w:val="both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  <w:t xml:space="preserve">Наибольшее число обращений поступило из с. Бешпагир (</w:t>
      </w:r>
      <w:r>
        <w:rPr>
          <w:sz w:val="28"/>
          <w:szCs w:val="28"/>
          <w:shd w:val="clear" w:color="auto" w:fill="auto"/>
        </w:rPr>
        <w:t xml:space="preserve">5) и с. Старомарьевка (6),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 по 4 обращения из с. Тугулук  и с. Сергиевское.</w:t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31"/>
        <w:pBdr/>
        <w:spacing/>
        <w:ind w:right="0" w:firstLine="709"/>
        <w:jc w:val="both"/>
        <w:rPr>
          <w:shd w:val="clear" w:color="auto" w:fill="auto"/>
        </w:rPr>
      </w:pPr>
      <w:r>
        <w:rPr>
          <w:sz w:val="28"/>
          <w:szCs w:val="28"/>
          <w:shd w:val="clear" w:color="auto" w:fill="auto"/>
        </w:rPr>
        <w:t xml:space="preserve">Сравнительная характеристика обращений граждан по населенным пунктам округа приведена в таблице 2.</w:t>
      </w:r>
      <w:r>
        <w:rPr>
          <w:shd w:val="clear" w:color="auto" w:fill="auto"/>
        </w:rPr>
      </w:r>
      <w:r>
        <w:rPr>
          <w:shd w:val="clear" w:color="auto" w:fill="auto"/>
        </w:rPr>
      </w:r>
    </w:p>
    <w:p>
      <w:pPr>
        <w:pStyle w:val="931"/>
        <w:pBdr/>
        <w:spacing/>
        <w:ind w:right="0" w:firstLine="1080"/>
        <w:jc w:val="right"/>
        <w:rPr>
          <w:b/>
          <w:shd w:val="clear" w:color="auto" w:fill="auto"/>
        </w:rPr>
      </w:pPr>
      <w:r>
        <w:rPr>
          <w:shd w:val="clear" w:color="auto" w:fill="auto"/>
        </w:rPr>
        <w:t xml:space="preserve">Таблица 2</w:t>
      </w: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</w:p>
    <w:tbl>
      <w:tblPr>
        <w:tblInd w:w="-153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68"/>
        <w:gridCol w:w="2801"/>
        <w:gridCol w:w="1691"/>
        <w:gridCol w:w="1434"/>
        <w:gridCol w:w="12"/>
        <w:gridCol w:w="1422"/>
        <w:gridCol w:w="1909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b/>
                <w:shd w:val="clear" w:color="auto" w:fill="auto"/>
              </w:rPr>
            </w:pPr>
            <w:r>
              <w:rPr>
                <w:b/>
                <w:shd w:val="clear" w:color="auto" w:fill="auto"/>
              </w:rPr>
              <w:t xml:space="preserve">№</w:t>
            </w: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</w:p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b/>
                <w:shd w:val="clear" w:color="auto" w:fill="auto"/>
              </w:rPr>
              <w:t xml:space="preserve">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b/>
                <w:shd w:val="clear" w:color="auto" w:fill="auto"/>
              </w:rPr>
              <w:t xml:space="preserve">Населенные пункты округа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b/>
                <w:shd w:val="clear" w:color="auto" w:fill="auto"/>
              </w:rPr>
            </w:pPr>
            <w:r>
              <w:rPr>
                <w:b/>
                <w:shd w:val="clear" w:color="auto" w:fill="auto"/>
              </w:rPr>
              <w:t xml:space="preserve">Численность населения по состоянию на 01.01.2026г. </w:t>
            </w: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</w:p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b/>
                <w:shd w:val="clear" w:color="auto" w:fill="auto"/>
              </w:rPr>
              <w:t xml:space="preserve">(чел.)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b/>
                <w:shd w:val="clear" w:color="auto" w:fill="auto"/>
              </w:rPr>
              <w:t xml:space="preserve">Кол-во обращений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в</w:t>
            </w:r>
            <w:r>
              <w:rPr>
                <w:b/>
                <w:shd w:val="clear" w:color="auto" w:fill="auto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 полугодии 2025</w:t>
            </w:r>
            <w:r>
              <w:rPr>
                <w:b/>
                <w:shd w:val="clear" w:color="auto" w:fill="auto"/>
              </w:rPr>
              <w:t xml:space="preserve"> года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b/>
                <w:shd w:val="clear" w:color="auto" w:fill="auto"/>
              </w:rPr>
              <w:t xml:space="preserve">Кол-во обращений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в 1 полугодии </w:t>
            </w:r>
            <w:r>
              <w:rPr>
                <w:b/>
                <w:shd w:val="clear" w:color="auto" w:fill="auto"/>
              </w:rPr>
              <w:t xml:space="preserve">2026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b/>
                <w:shd w:val="clear" w:color="auto" w:fill="auto"/>
              </w:rPr>
            </w:pPr>
            <w:r>
              <w:rPr>
                <w:b/>
                <w:shd w:val="clear" w:color="auto" w:fill="auto"/>
              </w:rPr>
              <w:t xml:space="preserve">Количество поступивших обращений в расчете на 1000 населения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в 1 полугодии</w:t>
            </w: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</w:p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b/>
                <w:shd w:val="clear" w:color="auto" w:fill="auto"/>
              </w:rPr>
              <w:t xml:space="preserve"> </w:t>
            </w:r>
            <w:r>
              <w:rPr>
                <w:b/>
                <w:shd w:val="clear" w:color="auto" w:fill="auto"/>
              </w:rPr>
              <w:t xml:space="preserve">2026 года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с. Бешпагир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4102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color w:val="000000"/>
                <w:shd w:val="clear" w:color="auto" w:fill="auto"/>
              </w:rPr>
              <w:t xml:space="preserve">1,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22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с. Грачевка пос.(Ямки, х.Лисички)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6540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0,46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с.Красное (х. Нагорный)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2391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1,25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с. Кугульта (пос. Верхняя Кугульта)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7053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0,43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с. Сергиевское (х. Октябрь)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2820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1,42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с. Спицевка (х. Базовый, пос. Новоспицевский)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4251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0,71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с. Старомарьевка (х. Кизилов)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7069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color w:val="000000"/>
                <w:shd w:val="clear" w:color="auto" w:fill="auto"/>
              </w:rPr>
              <w:t xml:space="preserve">0,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85</w:t>
            </w:r>
            <w:r/>
          </w:p>
        </w:tc>
      </w:tr>
      <w:tr>
        <w:trPr>
          <w:trHeight w:val="3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с. Тугулук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2403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1,66</w:t>
            </w:r>
            <w:r/>
          </w:p>
        </w:tc>
      </w:tr>
      <w:tr>
        <w:trPr>
          <w:trHeight w:val="6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От незарегистрированных по месту жительства на территории округа граждан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color w:val="000000"/>
                <w:shd w:val="clear" w:color="auto" w:fill="auto"/>
              </w:rPr>
              <w:t xml:space="preserve">-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color w:val="000000"/>
                <w:shd w:val="clear" w:color="auto" w:fill="auto"/>
              </w:rPr>
              <w:t xml:space="preserve">-</w:t>
            </w:r>
            <w:r/>
          </w:p>
        </w:tc>
      </w:tr>
      <w:tr>
        <w:trPr>
          <w:trHeight w:val="631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10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Без определения адреса регистрации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color w:val="000000"/>
                <w:shd w:val="clear" w:color="auto" w:fill="auto"/>
              </w:rPr>
              <w:t xml:space="preserve">-</w:t>
            </w:r>
            <w:r/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color w:val="000000"/>
                <w:shd w:val="clear" w:color="auto" w:fill="auto"/>
              </w:rPr>
              <w:t xml:space="preserve">-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b/>
                <w:color w:val="c9211e"/>
                <w:sz w:val="28"/>
                <w:szCs w:val="28"/>
                <w:shd w:val="clear" w:color="auto" w:fill="auto"/>
              </w:rPr>
            </w:pPr>
            <w:r>
              <w:rPr>
                <w:b/>
                <w:color w:val="c9211e"/>
                <w:sz w:val="28"/>
                <w:szCs w:val="28"/>
                <w:shd w:val="clear" w:color="auto" w:fill="auto"/>
              </w:rPr>
            </w:r>
            <w:r>
              <w:rPr>
                <w:b/>
                <w:color w:val="c9211e"/>
                <w:sz w:val="28"/>
                <w:szCs w:val="28"/>
                <w:shd w:val="clear" w:color="auto" w:fill="auto"/>
              </w:rPr>
            </w:r>
            <w:r>
              <w:rPr>
                <w:b/>
                <w:color w:val="c9211e"/>
                <w:sz w:val="28"/>
                <w:szCs w:val="28"/>
                <w:shd w:val="clear" w:color="auto" w:fil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b/>
                <w:sz w:val="28"/>
                <w:szCs w:val="28"/>
                <w:shd w:val="clear" w:color="auto" w:fill="auto"/>
              </w:rPr>
              <w:t xml:space="preserve">ИТОГО: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b/>
                <w:color w:val="000000"/>
                <w:sz w:val="28"/>
                <w:szCs w:val="28"/>
                <w:shd w:val="clear" w:color="auto" w:fill="auto"/>
              </w:rPr>
              <w:t xml:space="preserve">366</w:t>
            </w:r>
            <w:r>
              <w:rPr>
                <w:rFonts w:eastAsia="Times New Roman" w:cs="Times New Roman"/>
                <w:b/>
                <w:color w:val="000000"/>
                <w:sz w:val="28"/>
                <w:szCs w:val="28"/>
                <w:shd w:val="clear" w:color="auto" w:fill="auto"/>
                <w:lang w:val="ru-RU" w:eastAsia="zh-CN" w:bidi="ar-SA"/>
              </w:rPr>
              <w:t xml:space="preserve">29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b/>
                <w:color w:val="000000"/>
                <w:sz w:val="28"/>
                <w:szCs w:val="28"/>
                <w:shd w:val="clear" w:color="auto" w:fill="auto"/>
                <w:lang w:val="ru-RU" w:eastAsia="zh-CN" w:bidi="ar-SA"/>
              </w:rPr>
              <w:t xml:space="preserve">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b/>
                <w:color w:val="000000"/>
                <w:sz w:val="28"/>
                <w:szCs w:val="28"/>
                <w:shd w:val="clear" w:color="auto" w:fill="auto"/>
                <w:lang w:val="ru-RU" w:eastAsia="zh-CN" w:bidi="ar-SA"/>
              </w:rPr>
              <w:t xml:space="preserve">33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b/>
                <w:color w:val="000000"/>
                <w:sz w:val="28"/>
                <w:szCs w:val="28"/>
                <w:shd w:val="clear" w:color="auto" w:fill="auto"/>
                <w:lang w:val="ru-RU" w:eastAsia="zh-CN" w:bidi="ar-SA"/>
              </w:rPr>
              <w:t xml:space="preserve">0,90</w:t>
            </w:r>
            <w:r/>
          </w:p>
        </w:tc>
      </w:tr>
    </w:tbl>
    <w:p>
      <w:pPr>
        <w:pStyle w:val="948"/>
        <w:pBdr/>
        <w:spacing/>
        <w:ind w:right="0" w:firstLine="1080"/>
        <w:jc w:val="center"/>
        <w:rPr>
          <w:b/>
          <w:shd w:val="clear" w:color="auto" w:fill="auto"/>
        </w:rPr>
      </w:pP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</w:p>
    <w:p>
      <w:pPr>
        <w:pStyle w:val="948"/>
        <w:pBdr/>
        <w:spacing/>
        <w:ind w:right="0" w:firstLine="1080"/>
        <w:jc w:val="center"/>
        <w:rPr>
          <w:b/>
          <w:shd w:val="clear" w:color="auto" w:fill="auto"/>
        </w:rPr>
      </w:pP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</w:p>
    <w:p>
      <w:pPr>
        <w:pStyle w:val="948"/>
        <w:pBdr/>
        <w:spacing/>
        <w:ind w:right="0" w:firstLine="1080"/>
        <w:jc w:val="center"/>
        <w:rPr>
          <w:b/>
          <w:shd w:val="clear" w:color="auto" w:fill="auto"/>
        </w:rPr>
      </w:pP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</w:p>
    <w:p>
      <w:pPr>
        <w:pStyle w:val="948"/>
        <w:pBdr/>
        <w:spacing/>
        <w:ind w:right="0" w:firstLine="1080"/>
        <w:jc w:val="center"/>
        <w:rPr>
          <w:b/>
          <w:shd w:val="clear" w:color="auto" w:fill="auto"/>
        </w:rPr>
      </w:pPr>
      <w:r>
        <w:rPr>
          <w:b/>
          <w:shd w:val="clear" w:color="auto" w:fill="auto"/>
          <w:lang w:val="en-US"/>
        </w:rPr>
        <w:t xml:space="preserve">I</w:t>
      </w:r>
      <w:r>
        <w:rPr>
          <w:b/>
          <w:shd w:val="clear" w:color="auto" w:fill="auto"/>
        </w:rPr>
        <w:t xml:space="preserve">II. Социальное положение обратившихся граждан </w:t>
      </w: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</w:p>
    <w:p>
      <w:pPr>
        <w:pStyle w:val="948"/>
        <w:pBdr/>
        <w:spacing/>
        <w:ind w:right="0" w:firstLine="1080"/>
        <w:jc w:val="center"/>
        <w:rPr>
          <w:b/>
          <w:shd w:val="clear" w:color="auto" w:fill="auto"/>
        </w:rPr>
      </w:pPr>
      <w:r>
        <w:rPr>
          <w:b/>
          <w:shd w:val="clear" w:color="auto" w:fill="auto"/>
        </w:rPr>
        <w:t xml:space="preserve">и льготный состав заявителей</w:t>
      </w: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</w:p>
    <w:p>
      <w:pPr>
        <w:pStyle w:val="948"/>
        <w:pBdr/>
        <w:spacing/>
        <w:ind w:right="0" w:firstLine="1080"/>
        <w:jc w:val="center"/>
        <w:rPr>
          <w:b/>
          <w:shd w:val="clear" w:color="auto" w:fill="auto"/>
        </w:rPr>
      </w:pP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</w:p>
    <w:p>
      <w:pPr>
        <w:pStyle w:val="931"/>
        <w:pBdr/>
        <w:spacing/>
        <w:ind w:right="0" w:firstLine="709"/>
        <w:jc w:val="both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  <w:t xml:space="preserve">Анализируя социальную структуру лиц, направивших обращения  в различные органы власти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в 1 полугодии</w:t>
      </w:r>
      <w:r>
        <w:rPr>
          <w:sz w:val="28"/>
          <w:szCs w:val="28"/>
          <w:shd w:val="clear" w:color="auto" w:fill="auto"/>
        </w:rPr>
        <w:t xml:space="preserve"> 2026 года, можно отметить, что основная группа заявителей относятся к трудоспособной группе населения  - 23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 человека, из них 10 человек - члены семьи участников СВО</w:t>
      </w:r>
      <w:r>
        <w:rPr>
          <w:sz w:val="28"/>
          <w:szCs w:val="28"/>
          <w:shd w:val="clear" w:color="auto" w:fill="auto"/>
        </w:rPr>
        <w:t xml:space="preserve">, 9-многодетные семьи. Пенсионеров обратилось </w:t>
      </w:r>
      <w:r>
        <w:rPr>
          <w:sz w:val="28"/>
          <w:szCs w:val="28"/>
          <w:shd w:val="clear" w:color="auto" w:fill="auto"/>
        </w:rPr>
        <w:t xml:space="preserve">10 человек. В анал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огичном</w:t>
      </w:r>
      <w:r>
        <w:rPr>
          <w:sz w:val="28"/>
          <w:szCs w:val="28"/>
          <w:shd w:val="clear" w:color="auto" w:fill="auto"/>
        </w:rPr>
        <w:t xml:space="preserve"> периоде 202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5</w:t>
      </w:r>
      <w:r>
        <w:rPr>
          <w:sz w:val="28"/>
          <w:szCs w:val="28"/>
          <w:shd w:val="clear" w:color="auto" w:fill="auto"/>
        </w:rPr>
        <w:t xml:space="preserve"> года их соотношение составляло 18/5. </w:t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31"/>
        <w:pBdr/>
        <w:spacing/>
        <w:ind w:right="0" w:firstLine="709"/>
        <w:jc w:val="both"/>
        <w:rPr>
          <w:highlight w:val="none"/>
          <w:shd w:val="clear" w:color="auto" w:fill="auto"/>
        </w:rPr>
      </w:pPr>
      <w:r>
        <w:rPr>
          <w:sz w:val="28"/>
          <w:szCs w:val="28"/>
          <w:highlight w:val="none"/>
          <w:shd w:val="clear" w:color="auto" w:fill="auto"/>
        </w:rPr>
        <w:t xml:space="preserve">Численность граждан, относящихся к льготным категориям и обратившимся в отчетном периоде за разъяснениями по интересующим их вопросам, составила 20 человек  или 60,6 % от общего количества обратившихся (</w:t>
      </w:r>
      <w:r>
        <w:rPr>
          <w:rFonts w:eastAsia="Times New Roman" w:cs="Times New Roman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1пол.</w:t>
      </w:r>
      <w:r>
        <w:rPr>
          <w:sz w:val="28"/>
          <w:szCs w:val="28"/>
          <w:highlight w:val="none"/>
          <w:shd w:val="clear" w:color="auto" w:fill="auto"/>
        </w:rPr>
        <w:t xml:space="preserve"> 2025 г. – </w:t>
      </w:r>
      <w:r>
        <w:rPr>
          <w:rFonts w:eastAsia="Times New Roman" w:cs="Times New Roman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16</w:t>
      </w:r>
      <w:r>
        <w:rPr>
          <w:sz w:val="28"/>
          <w:szCs w:val="28"/>
          <w:highlight w:val="none"/>
          <w:shd w:val="clear" w:color="auto" w:fill="auto"/>
        </w:rPr>
        <w:t xml:space="preserve"> чел./76,</w:t>
      </w:r>
      <w:r>
        <w:rPr>
          <w:sz w:val="28"/>
          <w:szCs w:val="28"/>
          <w:highlight w:val="none"/>
          <w:shd w:val="clear" w:color="auto" w:fill="auto"/>
        </w:rPr>
        <w:t xml:space="preserve">19%).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31"/>
        <w:pBdr/>
        <w:spacing/>
        <w:ind w:right="0" w:firstLine="1080"/>
        <w:jc w:val="right"/>
        <w:rPr>
          <w:b/>
          <w:highlight w:val="none"/>
          <w:shd w:val="clear" w:color="auto" w:fill="auto"/>
        </w:rPr>
      </w:pPr>
      <w:r>
        <w:rPr>
          <w:highlight w:val="none"/>
          <w:shd w:val="clear" w:color="auto" w:fill="auto"/>
        </w:rPr>
        <w:t xml:space="preserve">Таблица 3</w:t>
      </w:r>
      <w:r>
        <w:rPr>
          <w:b/>
          <w:highlight w:val="none"/>
          <w:shd w:val="clear" w:color="auto" w:fill="auto"/>
        </w:rPr>
      </w:r>
      <w:r>
        <w:rPr>
          <w:b/>
          <w:highlight w:val="none"/>
          <w:shd w:val="clear" w:color="auto" w:fill="auto"/>
        </w:rPr>
      </w:r>
    </w:p>
    <w:tbl>
      <w:tblPr>
        <w:tblInd w:w="-153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4361"/>
        <w:gridCol w:w="992"/>
        <w:gridCol w:w="1134"/>
        <w:gridCol w:w="992"/>
        <w:gridCol w:w="1134"/>
        <w:gridCol w:w="1226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b/>
                <w:highlight w:val="none"/>
                <w:shd w:val="clear" w:color="auto" w:fill="auto"/>
              </w:rPr>
            </w:pPr>
            <w:r>
              <w:rPr>
                <w:b/>
                <w:highlight w:val="none"/>
                <w:shd w:val="clear" w:color="auto" w:fill="auto"/>
              </w:rPr>
              <w:t xml:space="preserve">Льготная</w:t>
            </w:r>
            <w:r>
              <w:rPr>
                <w:b/>
                <w:highlight w:val="none"/>
                <w:shd w:val="clear" w:color="auto" w:fill="auto"/>
              </w:rPr>
            </w:r>
            <w:r>
              <w:rPr>
                <w:b/>
                <w:highlight w:val="none"/>
                <w:shd w:val="clear" w:color="auto" w:fill="auto"/>
              </w:rPr>
            </w:r>
          </w:p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b/>
                <w:highlight w:val="none"/>
                <w:shd w:val="clear" w:color="auto" w:fill="auto"/>
              </w:rPr>
              <w:t xml:space="preserve">категория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b/>
                <w:bCs/>
                <w:highlight w:val="none"/>
                <w:shd w:val="clear" w:color="auto" w:fill="auto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1 пол</w:t>
            </w:r>
            <w:r>
              <w:rPr>
                <w:b/>
                <w:bCs/>
                <w:highlight w:val="none"/>
                <w:shd w:val="clear" w:color="auto" w:fill="auto"/>
              </w:rPr>
              <w:t xml:space="preserve">.</w:t>
            </w:r>
            <w:r>
              <w:rPr>
                <w:b/>
                <w:bCs/>
                <w:highlight w:val="none"/>
                <w:shd w:val="clear" w:color="auto" w:fill="auto"/>
              </w:rPr>
            </w:r>
            <w:r>
              <w:rPr>
                <w:b/>
                <w:bCs/>
                <w:highlight w:val="none"/>
                <w:shd w:val="clear" w:color="auto" w:fill="auto"/>
              </w:rPr>
            </w:r>
          </w:p>
          <w:p>
            <w:pPr>
              <w:pStyle w:val="931"/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  <w:shd w:val="clear" w:color="auto" w:fill="auto"/>
              </w:rPr>
              <w:t xml:space="preserve">2025 г.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b/>
                <w:bCs/>
                <w:highlight w:val="none"/>
                <w:shd w:val="clear" w:color="auto" w:fill="auto"/>
              </w:rPr>
            </w:pPr>
            <w:r>
              <w:rPr>
                <w:b/>
                <w:bCs/>
                <w:highlight w:val="none"/>
                <w:shd w:val="clear" w:color="auto" w:fill="auto"/>
              </w:rPr>
              <w:t xml:space="preserve">% от</w:t>
            </w:r>
            <w:r>
              <w:rPr>
                <w:b/>
                <w:bCs/>
                <w:highlight w:val="none"/>
                <w:shd w:val="clear" w:color="auto" w:fill="auto"/>
              </w:rPr>
            </w:r>
            <w:r>
              <w:rPr>
                <w:b/>
                <w:bCs/>
                <w:highlight w:val="none"/>
                <w:shd w:val="clear" w:color="auto" w:fill="auto"/>
              </w:rPr>
            </w:r>
          </w:p>
          <w:p>
            <w:pPr>
              <w:pStyle w:val="931"/>
              <w:pBdr/>
              <w:spacing/>
              <w:ind/>
              <w:jc w:val="center"/>
              <w:rPr>
                <w:b/>
                <w:bCs/>
                <w:highlight w:val="none"/>
                <w:shd w:val="clear" w:color="auto" w:fill="auto"/>
              </w:rPr>
            </w:pPr>
            <w:r>
              <w:rPr>
                <w:b/>
                <w:bCs/>
                <w:highlight w:val="none"/>
                <w:shd w:val="clear" w:color="auto" w:fill="auto"/>
              </w:rPr>
              <w:t xml:space="preserve">общего </w:t>
            </w:r>
            <w:r>
              <w:rPr>
                <w:b/>
                <w:bCs/>
                <w:highlight w:val="none"/>
                <w:shd w:val="clear" w:color="auto" w:fill="auto"/>
              </w:rPr>
            </w:r>
            <w:r>
              <w:rPr>
                <w:b/>
                <w:bCs/>
                <w:highlight w:val="none"/>
                <w:shd w:val="clear" w:color="auto" w:fill="auto"/>
              </w:rPr>
            </w:r>
          </w:p>
          <w:p>
            <w:pPr>
              <w:pStyle w:val="931"/>
              <w:pBdr/>
              <w:spacing/>
              <w:ind/>
              <w:jc w:val="center"/>
              <w:rPr>
                <w:b/>
                <w:bCs/>
                <w:highlight w:val="none"/>
                <w:shd w:val="clear" w:color="auto" w:fill="auto"/>
              </w:rPr>
            </w:pPr>
            <w:r>
              <w:rPr>
                <w:b/>
                <w:bCs/>
                <w:highlight w:val="none"/>
                <w:shd w:val="clear" w:color="auto" w:fill="auto"/>
              </w:rPr>
              <w:t xml:space="preserve">коли-</w:t>
            </w:r>
            <w:r>
              <w:rPr>
                <w:b/>
                <w:bCs/>
                <w:highlight w:val="none"/>
                <w:shd w:val="clear" w:color="auto" w:fill="auto"/>
              </w:rPr>
            </w:r>
            <w:r>
              <w:rPr>
                <w:b/>
                <w:bCs/>
                <w:highlight w:val="none"/>
                <w:shd w:val="clear" w:color="auto" w:fill="auto"/>
              </w:rPr>
            </w:r>
          </w:p>
          <w:p>
            <w:pPr>
              <w:pStyle w:val="931"/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  <w:shd w:val="clear" w:color="auto" w:fill="auto"/>
              </w:rPr>
              <w:t xml:space="preserve">чества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Bdr/>
              <w:shd w:val="nil" w:color="auto"/>
              <w:spacing/>
              <w:ind/>
              <w:rPr>
                <w:b/>
                <w:bCs/>
                <w:highlight w:val="none"/>
                <w:shd w:val="clear" w:color="auto" w:fill="auto"/>
                <w14:ligatures w14:val="none"/>
              </w:rPr>
            </w:pPr>
            <w:r>
              <w:rPr>
                <w:b/>
                <w:bCs/>
                <w:highlight w:val="none"/>
                <w:lang w:val="ru-RU" w:eastAsia="zh-CN" w:bidi="ar-SA"/>
              </w:rPr>
              <w:t xml:space="preserve">1 пол</w:t>
            </w:r>
            <w:r>
              <w:rPr>
                <w:b/>
                <w:bCs/>
                <w:highlight w:val="none"/>
              </w:rPr>
              <w:t xml:space="preserve">.</w:t>
            </w:r>
            <w:r>
              <w:rPr>
                <w:b/>
                <w:bCs/>
                <w:highlight w:val="none"/>
                <w:shd w:val="clear" w:color="auto" w:fill="auto"/>
                <w14:ligatures w14:val="none"/>
              </w:rPr>
            </w:r>
            <w:r>
              <w:rPr>
                <w:b/>
                <w:bCs/>
                <w:highlight w:val="none"/>
                <w:shd w:val="clear" w:color="auto" w:fill="auto"/>
                <w14:ligatures w14:val="none"/>
              </w:rPr>
            </w:r>
          </w:p>
          <w:p>
            <w:pPr>
              <w:pBdr/>
              <w:shd w:val="nil" w:color="auto"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2026 г</w:t>
            </w:r>
            <w:r>
              <w:rPr>
                <w:b/>
                <w:bCs/>
                <w:highlight w:val="none"/>
                <w:shd w:val="clear" w:color="auto" w:fill="auto"/>
              </w:rPr>
              <w:t xml:space="preserve">.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Bdr/>
              <w:shd w:val="nil" w:color="auto"/>
              <w:spacing/>
              <w:ind/>
              <w:rPr>
                <w:b/>
                <w:bCs/>
                <w:highlight w:val="none"/>
                <w:shd w:val="clear" w:color="auto" w:fill="auto"/>
                <w14:ligatures w14:val="none"/>
              </w:rPr>
            </w:pPr>
            <w:r>
              <w:rPr>
                <w:b/>
                <w:bCs/>
                <w:highlight w:val="none"/>
              </w:rPr>
              <w:t xml:space="preserve">% от</w:t>
            </w:r>
            <w:r>
              <w:rPr>
                <w:b/>
                <w:bCs/>
                <w:highlight w:val="none"/>
                <w:shd w:val="clear" w:color="auto" w:fill="auto"/>
                <w14:ligatures w14:val="none"/>
              </w:rPr>
            </w:r>
            <w:r>
              <w:rPr>
                <w:b/>
                <w:bCs/>
                <w:highlight w:val="none"/>
                <w:shd w:val="clear" w:color="auto" w:fill="auto"/>
                <w14:ligatures w14:val="none"/>
              </w:rPr>
            </w:r>
          </w:p>
          <w:p>
            <w:pPr>
              <w:pBdr/>
              <w:shd w:val="nil" w:color="auto"/>
              <w:spacing/>
              <w:ind/>
              <w:rPr>
                <w:b/>
                <w:bCs/>
                <w:highlight w:val="none"/>
                <w:shd w:val="clear" w:color="auto" w:fill="auto"/>
                <w14:ligatures w14:val="none"/>
              </w:rPr>
            </w:pPr>
            <w:r>
              <w:rPr>
                <w:b/>
                <w:bCs/>
                <w:highlight w:val="none"/>
              </w:rPr>
              <w:t xml:space="preserve">общего </w:t>
            </w:r>
            <w:r>
              <w:rPr>
                <w:b/>
                <w:bCs/>
                <w:highlight w:val="none"/>
                <w:shd w:val="clear" w:color="auto" w:fill="auto"/>
                <w14:ligatures w14:val="none"/>
              </w:rPr>
            </w:r>
            <w:r>
              <w:rPr>
                <w:b/>
                <w:bCs/>
                <w:highlight w:val="none"/>
                <w:shd w:val="clear" w:color="auto" w:fill="auto"/>
                <w14:ligatures w14:val="none"/>
              </w:rPr>
            </w:r>
          </w:p>
          <w:p>
            <w:pPr>
              <w:pBdr/>
              <w:shd w:val="nil" w:color="auto"/>
              <w:spacing/>
              <w:ind/>
              <w:rPr>
                <w:b/>
                <w:bCs/>
                <w:highlight w:val="none"/>
                <w:shd w:val="clear" w:color="auto" w:fill="auto"/>
                <w14:ligatures w14:val="none"/>
              </w:rPr>
            </w:pPr>
            <w:r>
              <w:rPr>
                <w:b/>
                <w:bCs/>
                <w:highlight w:val="none"/>
              </w:rPr>
              <w:t xml:space="preserve">коли-</w:t>
            </w:r>
            <w:r>
              <w:rPr>
                <w:b/>
                <w:bCs/>
                <w:highlight w:val="none"/>
                <w:shd w:val="clear" w:color="auto" w:fill="auto"/>
                <w14:ligatures w14:val="none"/>
              </w:rPr>
            </w:r>
            <w:r>
              <w:rPr>
                <w:b/>
                <w:bCs/>
                <w:highlight w:val="none"/>
                <w:shd w:val="clear" w:color="auto" w:fill="auto"/>
                <w14:ligatures w14:val="none"/>
              </w:rPr>
            </w:r>
          </w:p>
          <w:p>
            <w:pPr>
              <w:pBdr/>
              <w:shd w:val="nil" w:color="auto"/>
              <w:spacing/>
              <w:ind/>
              <w:rPr>
                <w:b/>
                <w:bCs/>
                <w:highlight w:val="none"/>
                <w14:ligatures w14:val="none"/>
              </w:rPr>
            </w:pPr>
            <w:r>
              <w:rPr>
                <w:b/>
                <w:bCs/>
                <w:highlight w:val="none"/>
              </w:rPr>
              <w:t xml:space="preserve">чества</w:t>
            </w:r>
            <w:r>
              <w:rPr>
                <w:b/>
                <w:bCs/>
                <w:highlight w:val="none"/>
                <w14:ligatures w14:val="none"/>
              </w:rPr>
            </w:r>
            <w:r>
              <w:rPr>
                <w:b/>
                <w:bCs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Bdr/>
              <w:shd w:val="nil" w:color="auto"/>
              <w:spacing/>
              <w:ind/>
              <w:rPr>
                <w:b/>
                <w:bCs/>
                <w:highlight w:val="none"/>
                <w:shd w:val="clear" w:color="auto" w:fill="auto"/>
                <w14:ligatures w14:val="none"/>
              </w:rPr>
            </w:pPr>
            <w:r>
              <w:rPr>
                <w:b/>
                <w:bCs/>
                <w:highlight w:val="none"/>
                <w:lang w:val="ru-RU" w:eastAsia="zh-CN" w:bidi="ar-SA"/>
              </w:rPr>
              <w:t xml:space="preserve">1 пол.</w:t>
            </w:r>
            <w:r>
              <w:rPr>
                <w:b/>
                <w:bCs/>
                <w:highlight w:val="none"/>
              </w:rPr>
              <w:t xml:space="preserve"> 2025 г. </w:t>
            </w:r>
            <w:r>
              <w:rPr>
                <w:b/>
                <w:bCs/>
                <w:highlight w:val="none"/>
                <w:shd w:val="clear" w:color="auto" w:fill="auto"/>
                <w14:ligatures w14:val="none"/>
              </w:rPr>
            </w:r>
            <w:r>
              <w:rPr>
                <w:b/>
                <w:bCs/>
                <w:highlight w:val="none"/>
                <w:shd w:val="clear" w:color="auto" w:fill="auto"/>
                <w14:ligatures w14:val="none"/>
              </w:rPr>
            </w:r>
          </w:p>
          <w:p>
            <w:pPr>
              <w:pBdr/>
              <w:shd w:val="nil" w:color="auto"/>
              <w:spacing/>
              <w:ind/>
              <w:rPr>
                <w:b/>
                <w:bCs/>
                <w:highlight w:val="none"/>
                <w14:ligatures w14:val="none"/>
              </w:rPr>
            </w:pPr>
            <w:r>
              <w:rPr>
                <w:b/>
                <w:bCs/>
                <w:highlight w:val="none"/>
                <w:lang w:val="ru-RU" w:eastAsia="zh-CN" w:bidi="ar-SA"/>
              </w:rPr>
              <w:t xml:space="preserve">к</w:t>
            </w:r>
            <w:r>
              <w:rPr>
                <w:b/>
                <w:bCs/>
                <w:highlight w:val="none"/>
              </w:rPr>
              <w:t xml:space="preserve"> </w:t>
            </w:r>
            <w:r>
              <w:rPr>
                <w:b/>
                <w:bCs/>
                <w:highlight w:val="none"/>
                <w:lang w:val="ru-RU" w:eastAsia="zh-CN" w:bidi="ar-SA"/>
              </w:rPr>
              <w:t xml:space="preserve">1 пол.</w:t>
            </w:r>
            <w:r>
              <w:rPr>
                <w:b/>
                <w:bCs/>
                <w:highlight w:val="none"/>
              </w:rPr>
              <w:t xml:space="preserve">. 2026 г.</w:t>
            </w:r>
            <w:r>
              <w:rPr>
                <w:b/>
                <w:bCs/>
                <w:highlight w:val="none"/>
                <w14:ligatures w14:val="none"/>
              </w:rPr>
            </w:r>
            <w:r>
              <w:rPr>
                <w:b/>
                <w:bCs/>
                <w:highlight w:val="non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Инвалиды и участники ВОВ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Инвалиды вследствие общего заболевания, трудового увечья и с детства, «дети-инвалиды»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4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,76</w:t>
            </w:r>
            <w:r>
              <w:rPr>
                <w:highlight w:val="none"/>
                <w:shd w:val="clear" w:color="auto" w:fill="auto"/>
              </w:rPr>
              <w:t xml:space="preserve">%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3,03</w:t>
            </w:r>
            <w:r>
              <w:rPr>
                <w:highlight w:val="none"/>
                <w:shd w:val="clear" w:color="auto" w:fill="auto"/>
              </w:rPr>
              <w:t xml:space="preserve">%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Одинокие матери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</w:rPr>
              <w:t xml:space="preserve">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</w:rPr>
              <w:t xml:space="preserve">4,76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Многодетная семья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</w:rPr>
              <w:t xml:space="preserve">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42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,86</w:t>
            </w:r>
            <w:r>
              <w:rPr>
                <w:highlight w:val="none"/>
                <w:shd w:val="clear" w:color="auto" w:fill="auto"/>
              </w:rPr>
              <w:t xml:space="preserve">%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</w:rPr>
              <w:t xml:space="preserve">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27,27</w:t>
            </w:r>
            <w:r>
              <w:rPr>
                <w:highlight w:val="none"/>
                <w:shd w:val="clear" w:color="auto" w:fill="auto"/>
              </w:rPr>
              <w:t xml:space="preserve">%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Ветеран труда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Малоимущие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Члены семей погибших (умерших) ветеранов ВОВ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</w:rPr>
              <w:t xml:space="preserve">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</w:rPr>
              <w:t xml:space="preserve">9,52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-2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Ветераны ВОВ (труженики тыла)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Жители блокадного Ленинграда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Доноры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Ветераны боевых действий (участники СВО, члены их семей)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</w:rPr>
              <w:t xml:space="preserve">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14</w:t>
            </w:r>
            <w:r>
              <w:rPr>
                <w:highlight w:val="none"/>
                <w:shd w:val="clear" w:color="auto" w:fill="auto"/>
              </w:rPr>
              <w:t xml:space="preserve">,29%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</w:rPr>
              <w:t xml:space="preserve">10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30,30%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+7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>
          <w:trHeight w:val="2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Дети войны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-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  <w:t xml:space="preserve">Всего обращений от льготных категорий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16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76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,19</w:t>
            </w:r>
            <w:r>
              <w:rPr>
                <w:highlight w:val="none"/>
                <w:shd w:val="clear" w:color="auto" w:fill="auto"/>
              </w:rPr>
              <w:t xml:space="preserve">%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20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60,6</w:t>
            </w:r>
            <w:r>
              <w:rPr>
                <w:highlight w:val="none"/>
                <w:shd w:val="clear" w:color="auto" w:fill="auto"/>
              </w:rPr>
              <w:t xml:space="preserve">%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+4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highlight w:val="none"/>
              </w:rPr>
            </w:pPr>
            <w:r>
              <w:rPr>
                <w:b/>
                <w:highlight w:val="none"/>
                <w:shd w:val="clear" w:color="auto" w:fill="auto"/>
              </w:rPr>
              <w:t xml:space="preserve">Всего обращений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yellow"/>
              </w:rPr>
            </w:pPr>
            <w:r>
              <w:rPr>
                <w:highlight w:val="none"/>
              </w:rPr>
              <w:t xml:space="preserve">21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</w:rPr>
              <w:t xml:space="preserve">33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b/>
                <w:highlight w:val="none"/>
                <w:shd w:val="clear" w:color="auto" w:fill="auto"/>
              </w:rPr>
            </w:pPr>
            <w:r>
              <w:rPr>
                <w:b/>
                <w:highlight w:val="none"/>
                <w:shd w:val="clear" w:color="auto" w:fill="auto"/>
              </w:rPr>
            </w:r>
            <w:r>
              <w:rPr>
                <w:b/>
                <w:highlight w:val="none"/>
                <w:shd w:val="clear" w:color="auto" w:fill="auto"/>
              </w:rPr>
            </w:r>
            <w:r>
              <w:rPr>
                <w:b/>
                <w:highlight w:val="none"/>
                <w:shd w:val="clear" w:color="auto" w:fill="auto"/>
              </w:rPr>
            </w:r>
          </w:p>
        </w:tc>
      </w:tr>
    </w:tbl>
    <w:p>
      <w:pPr>
        <w:pStyle w:val="931"/>
        <w:pBdr/>
        <w:spacing/>
        <w:ind w:right="0" w:firstLine="1080"/>
        <w:jc w:val="both"/>
        <w:rPr>
          <w:sz w:val="28"/>
          <w:szCs w:val="28"/>
          <w:highlight w:val="yellow"/>
          <w:shd w:val="clear" w:color="auto" w:fill="auto"/>
        </w:rPr>
      </w:pPr>
      <w:r>
        <w:rPr>
          <w:sz w:val="28"/>
          <w:szCs w:val="28"/>
          <w:highlight w:val="yellow"/>
          <w:shd w:val="clear" w:color="auto" w:fill="auto"/>
        </w:rPr>
      </w:r>
      <w:r>
        <w:rPr>
          <w:sz w:val="28"/>
          <w:szCs w:val="28"/>
          <w:highlight w:val="yellow"/>
          <w:shd w:val="clear" w:color="auto" w:fill="auto"/>
        </w:rPr>
      </w:r>
      <w:r>
        <w:rPr>
          <w:sz w:val="28"/>
          <w:szCs w:val="28"/>
          <w:highlight w:val="yellow"/>
          <w:shd w:val="clear" w:color="auto" w:fill="auto"/>
        </w:rPr>
      </w:r>
    </w:p>
    <w:p>
      <w:pPr>
        <w:pStyle w:val="931"/>
        <w:pBdr/>
        <w:spacing/>
        <w:ind w:right="0" w:firstLine="851"/>
        <w:jc w:val="both"/>
        <w:rPr>
          <w:b/>
          <w:sz w:val="28"/>
          <w:szCs w:val="28"/>
          <w:highlight w:val="none"/>
          <w:shd w:val="clear" w:color="auto" w:fill="auto"/>
        </w:rPr>
      </w:pPr>
      <w:r>
        <w:rPr>
          <w:sz w:val="28"/>
          <w:szCs w:val="28"/>
          <w:highlight w:val="none"/>
          <w:shd w:val="clear" w:color="auto" w:fill="auto"/>
        </w:rPr>
        <w:t xml:space="preserve">Анализ показывает, что в отчетном периоде количество </w:t>
      </w:r>
      <w:r>
        <w:rPr>
          <w:sz w:val="28"/>
          <w:szCs w:val="28"/>
          <w:highlight w:val="none"/>
          <w:shd w:val="clear" w:color="auto" w:fill="auto"/>
        </w:rPr>
        <w:t xml:space="preserve">обращений от  льготных категорий граждан возросло по сравнению с аналогичным периодом прошлого года. Увеличилось обращение от  членов семей участников СВО  по вопросу разъяснения положенных по законодательству мер социальной поддержки. </w:t>
      </w:r>
      <w:r>
        <w:rPr>
          <w:b/>
          <w:sz w:val="28"/>
          <w:szCs w:val="28"/>
          <w:highlight w:val="none"/>
          <w:shd w:val="clear" w:color="auto" w:fill="auto"/>
        </w:rPr>
      </w:r>
      <w:r>
        <w:rPr>
          <w:b/>
          <w:sz w:val="28"/>
          <w:szCs w:val="28"/>
          <w:highlight w:val="none"/>
          <w:shd w:val="clear" w:color="auto" w:fill="auto"/>
        </w:rPr>
      </w:r>
    </w:p>
    <w:p>
      <w:pPr>
        <w:pStyle w:val="931"/>
        <w:pBdr/>
        <w:spacing/>
        <w:ind w:right="0" w:firstLine="851"/>
        <w:jc w:val="both"/>
        <w:rPr>
          <w:b/>
          <w:sz w:val="28"/>
          <w:szCs w:val="28"/>
          <w:shd w:val="clear" w:color="auto" w:fill="auto"/>
        </w:rPr>
      </w:pPr>
      <w:r>
        <w:rPr>
          <w:b/>
          <w:sz w:val="28"/>
          <w:szCs w:val="28"/>
          <w:shd w:val="clear" w:color="auto" w:fill="auto"/>
        </w:rPr>
      </w:r>
      <w:r>
        <w:rPr>
          <w:b/>
          <w:sz w:val="28"/>
          <w:szCs w:val="28"/>
          <w:shd w:val="clear" w:color="auto" w:fill="auto"/>
        </w:rPr>
      </w:r>
      <w:r>
        <w:rPr>
          <w:b/>
          <w:sz w:val="28"/>
          <w:szCs w:val="28"/>
          <w:shd w:val="clear" w:color="auto" w:fill="auto"/>
        </w:rPr>
      </w:r>
    </w:p>
    <w:p>
      <w:pPr>
        <w:pStyle w:val="948"/>
        <w:pBdr/>
        <w:spacing/>
        <w:ind w:right="0" w:firstLine="1080"/>
        <w:jc w:val="center"/>
        <w:rPr>
          <w:b/>
          <w:shd w:val="clear" w:color="auto" w:fill="auto"/>
        </w:rPr>
      </w:pPr>
      <w:r>
        <w:rPr>
          <w:b/>
          <w:shd w:val="clear" w:color="auto" w:fill="auto"/>
          <w:lang w:val="en-US"/>
        </w:rPr>
        <w:t xml:space="preserve">IV</w:t>
      </w:r>
      <w:r>
        <w:rPr>
          <w:b/>
          <w:shd w:val="clear" w:color="auto" w:fill="auto"/>
        </w:rPr>
        <w:t xml:space="preserve">. Содержание обращений граждан (типология вопросов)</w:t>
      </w: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</w:p>
    <w:p>
      <w:pPr>
        <w:pStyle w:val="948"/>
        <w:pBdr/>
        <w:spacing/>
        <w:ind w:right="0" w:firstLine="1080"/>
        <w:jc w:val="center"/>
        <w:rPr>
          <w:shd w:val="clear" w:color="auto" w:fill="auto"/>
        </w:rPr>
      </w:pPr>
      <w:r>
        <w:rPr>
          <w:b/>
          <w:shd w:val="clear" w:color="auto" w:fill="auto"/>
        </w:rPr>
        <w:t xml:space="preserve"> </w:t>
      </w:r>
      <w:r>
        <w:rPr>
          <w:shd w:val="clear" w:color="auto" w:fill="auto"/>
        </w:rPr>
      </w:r>
      <w:r>
        <w:rPr>
          <w:shd w:val="clear" w:color="auto" w:fill="auto"/>
        </w:rPr>
      </w:r>
    </w:p>
    <w:p>
      <w:pPr>
        <w:pStyle w:val="948"/>
        <w:pBdr/>
        <w:spacing/>
        <w:ind w:right="0" w:firstLine="851"/>
        <w:rPr>
          <w:sz w:val="28"/>
          <w:szCs w:val="28"/>
          <w:shd w:val="clear" w:color="auto" w:fill="auto"/>
        </w:rPr>
      </w:pPr>
      <w:r>
        <w:rPr>
          <w:shd w:val="clear" w:color="auto" w:fill="auto"/>
        </w:rPr>
        <w:t xml:space="preserve">В анализируемом периоде </w:t>
      </w:r>
      <w:r>
        <w:rPr>
          <w:szCs w:val="28"/>
          <w:shd w:val="clear" w:color="auto" w:fill="auto"/>
        </w:rPr>
        <w:t xml:space="preserve">обращения касались оказания мер социальной поддержки, материальной помощи, социальных контрактов,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 а также предоставления сведений о членах семей участников СВО, их нуждаемости и назначении мер социальной поддержки</w:t>
      </w:r>
      <w:r>
        <w:rPr>
          <w:szCs w:val="28"/>
          <w:shd w:val="clear" w:color="auto" w:fill="auto"/>
        </w:rPr>
        <w:t xml:space="preserve">. </w:t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31"/>
        <w:pBdr/>
        <w:spacing/>
        <w:ind w:right="0" w:firstLine="851"/>
        <w:jc w:val="both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  <w:t xml:space="preserve">Из поступивших за 1 полугодие </w:t>
      </w:r>
      <w:r>
        <w:rPr>
          <w:sz w:val="28"/>
          <w:szCs w:val="28"/>
          <w:shd w:val="clear" w:color="auto" w:fill="auto"/>
        </w:rPr>
        <w:t xml:space="preserve">202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6</w:t>
      </w:r>
      <w:r>
        <w:rPr>
          <w:sz w:val="28"/>
          <w:szCs w:val="28"/>
          <w:shd w:val="clear" w:color="auto" w:fill="auto"/>
        </w:rPr>
        <w:t xml:space="preserve"> года обращений все рассмотрены Управлением в установленный срок.  </w:t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31"/>
        <w:pBdr/>
        <w:spacing/>
        <w:ind w:right="0" w:firstLine="851"/>
        <w:jc w:val="both"/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</w:pPr>
      <w:r>
        <w:rPr>
          <w:sz w:val="28"/>
          <w:szCs w:val="28"/>
          <w:shd w:val="clear" w:color="auto" w:fill="auto"/>
        </w:rPr>
        <w:t xml:space="preserve">В ходе рассмотрения обращений специалисты Управления проверяли право заявителей на меры социальной поддержки, указанные в обращении, и давали им аргументированные ответы со ссылкой на действующее законодательство.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</w:r>
    </w:p>
    <w:p>
      <w:pPr>
        <w:pStyle w:val="931"/>
        <w:pBdr/>
        <w:spacing/>
        <w:ind w:right="0" w:firstLine="851"/>
        <w:jc w:val="both"/>
        <w:rPr>
          <w:sz w:val="28"/>
          <w:szCs w:val="28"/>
          <w:shd w:val="clear" w:color="auto" w:fill="auto"/>
        </w:rPr>
      </w:pP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О</w:t>
      </w:r>
      <w:r>
        <w:rPr>
          <w:color w:val="000000"/>
          <w:sz w:val="28"/>
          <w:szCs w:val="28"/>
          <w:shd w:val="clear" w:color="auto" w:fill="auto"/>
        </w:rPr>
        <w:t xml:space="preserve">бращени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я от членов семей участников СВО,</w:t>
      </w:r>
      <w:r>
        <w:rPr>
          <w:color w:val="000000"/>
          <w:sz w:val="28"/>
          <w:szCs w:val="28"/>
          <w:shd w:val="clear" w:color="auto" w:fill="auto"/>
        </w:rPr>
        <w:t xml:space="preserve"> поступившие в аппарат Президента РФ, рассмотрены в части предоставления контактов семей. Заявителям, состоящим на учете в Управлении, даны консультации о мерах социальной поддержки. </w:t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31"/>
        <w:pBdr/>
        <w:spacing/>
        <w:ind w:right="0" w:firstLine="851"/>
        <w:jc w:val="both"/>
        <w:rPr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  <w:t xml:space="preserve">Темы обращений, которых в анализируемом периоде граждане коснулись, будут обязательно подробно разъясняться через средства массовой информации, а также на сайте Управления. </w:t>
      </w:r>
      <w:r>
        <w:rPr>
          <w:szCs w:val="28"/>
          <w:shd w:val="clear" w:color="auto" w:fill="auto"/>
        </w:rPr>
      </w:r>
      <w:r>
        <w:rPr>
          <w:szCs w:val="28"/>
          <w:shd w:val="clear" w:color="auto" w:fill="auto"/>
        </w:rPr>
      </w:r>
    </w:p>
    <w:p>
      <w:pPr>
        <w:pStyle w:val="948"/>
        <w:pBdr/>
        <w:spacing/>
        <w:ind w:right="0" w:firstLine="851"/>
        <w:rPr>
          <w:b/>
          <w:szCs w:val="28"/>
          <w:shd w:val="clear" w:color="auto" w:fill="auto"/>
        </w:rPr>
      </w:pPr>
      <w:r>
        <w:rPr>
          <w:szCs w:val="28"/>
          <w:shd w:val="clear" w:color="auto" w:fill="auto"/>
        </w:rPr>
        <w:t xml:space="preserve">Анализ содержания писем жителей округа показал, что основные вопросы от граждан касаются выплат мер социальной поддержки, </w:t>
      </w:r>
      <w:r>
        <w:rPr>
          <w:szCs w:val="28"/>
          <w:shd w:val="clear" w:color="auto" w:fill="auto"/>
        </w:rPr>
        <w:t xml:space="preserve">увеличилось количество обращений по оказанию мер социальной поддержки</w:t>
      </w:r>
      <w:r>
        <w:rPr>
          <w:szCs w:val="28"/>
          <w:shd w:val="clear" w:color="auto" w:fill="auto"/>
        </w:rPr>
        <w:t xml:space="preserve"> участникам СВО и членам их семей. </w:t>
      </w:r>
      <w:r>
        <w:rPr>
          <w:b/>
          <w:szCs w:val="28"/>
          <w:shd w:val="clear" w:color="auto" w:fill="auto"/>
        </w:rPr>
      </w:r>
      <w:r>
        <w:rPr>
          <w:b/>
          <w:szCs w:val="28"/>
          <w:shd w:val="clear" w:color="auto" w:fill="auto"/>
        </w:rPr>
      </w:r>
    </w:p>
    <w:p>
      <w:pPr>
        <w:pStyle w:val="948"/>
        <w:pBdr/>
        <w:spacing/>
        <w:ind w:right="0" w:firstLine="1080"/>
        <w:jc w:val="center"/>
        <w:rPr>
          <w:b/>
          <w:szCs w:val="28"/>
          <w:shd w:val="clear" w:color="auto" w:fill="auto"/>
        </w:rPr>
      </w:pPr>
      <w:r>
        <w:rPr>
          <w:b/>
          <w:szCs w:val="28"/>
          <w:shd w:val="clear" w:color="auto" w:fill="auto"/>
        </w:rPr>
      </w:r>
      <w:r>
        <w:rPr>
          <w:b/>
          <w:szCs w:val="28"/>
          <w:shd w:val="clear" w:color="auto" w:fill="auto"/>
        </w:rPr>
      </w:r>
      <w:r>
        <w:rPr>
          <w:b/>
          <w:szCs w:val="28"/>
          <w:shd w:val="clear" w:color="auto" w:fill="auto"/>
        </w:rPr>
      </w:r>
    </w:p>
    <w:p>
      <w:pPr>
        <w:pStyle w:val="948"/>
        <w:pBdr/>
        <w:spacing/>
        <w:ind w:right="0" w:firstLine="1080"/>
        <w:jc w:val="center"/>
        <w:rPr>
          <w:b/>
          <w:shd w:val="clear" w:color="auto" w:fill="auto"/>
        </w:rPr>
      </w:pPr>
      <w:r>
        <w:rPr>
          <w:b/>
          <w:shd w:val="clear" w:color="auto" w:fill="auto"/>
          <w:lang w:val="en-US"/>
        </w:rPr>
        <w:t xml:space="preserve">V</w:t>
      </w:r>
      <w:r>
        <w:rPr>
          <w:b/>
          <w:shd w:val="clear" w:color="auto" w:fill="auto"/>
        </w:rPr>
        <w:t xml:space="preserve">. Обращения граждан в разрезе отделов</w:t>
      </w: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</w:p>
    <w:p>
      <w:pPr>
        <w:pStyle w:val="948"/>
        <w:pBdr/>
        <w:spacing/>
        <w:ind w:right="0" w:firstLine="1080"/>
        <w:jc w:val="center"/>
        <w:rPr>
          <w:color w:val="000000"/>
          <w:szCs w:val="28"/>
          <w:shd w:val="clear" w:color="auto" w:fill="auto"/>
        </w:rPr>
      </w:pPr>
      <w:r>
        <w:rPr>
          <w:b/>
          <w:shd w:val="clear" w:color="auto" w:fill="auto"/>
        </w:rPr>
        <w:t xml:space="preserve"> </w:t>
      </w:r>
      <w:r>
        <w:rPr>
          <w:color w:val="000000"/>
          <w:szCs w:val="28"/>
          <w:shd w:val="clear" w:color="auto" w:fill="auto"/>
        </w:rPr>
      </w:r>
      <w:r>
        <w:rPr>
          <w:color w:val="000000"/>
          <w:szCs w:val="28"/>
          <w:shd w:val="clear" w:color="auto" w:fill="auto"/>
        </w:rPr>
      </w:r>
    </w:p>
    <w:p>
      <w:pPr>
        <w:pStyle w:val="948"/>
        <w:pBdr/>
        <w:spacing/>
        <w:ind w:right="0" w:firstLine="851"/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</w:pPr>
      <w:r>
        <w:rPr>
          <w:color w:val="000000"/>
          <w:szCs w:val="28"/>
          <w:shd w:val="clear" w:color="auto" w:fill="auto"/>
        </w:rPr>
        <w:t xml:space="preserve">Тематика поступивших обращений разнообразна и касается всех направлений деятельности Управления, поэтому практически все отделы Управления участвуют в рассмотрении обращений. В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анализируемом периоде</w:t>
      </w:r>
      <w:r>
        <w:rPr>
          <w:color w:val="000000"/>
          <w:szCs w:val="28"/>
          <w:shd w:val="clear" w:color="auto" w:fill="auto"/>
        </w:rPr>
        <w:t xml:space="preserve">     </w:t>
      </w:r>
      <w:r>
        <w:rPr>
          <w:color w:val="000000"/>
          <w:szCs w:val="28"/>
          <w:shd w:val="clear" w:color="auto" w:fill="auto"/>
        </w:rPr>
        <w:t xml:space="preserve">14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обращений отработаны </w:t>
      </w:r>
      <w:r>
        <w:rPr>
          <w:color w:val="000000"/>
          <w:szCs w:val="28"/>
          <w:shd w:val="clear" w:color="auto" w:fill="auto"/>
        </w:rPr>
        <w:t xml:space="preserve">отделом социальной помощи и поддержки населения,  </w:t>
      </w:r>
      <w:r>
        <w:rPr>
          <w:color w:val="000000"/>
          <w:szCs w:val="28"/>
          <w:shd w:val="clear" w:color="auto" w:fill="auto"/>
        </w:rPr>
        <w:t xml:space="preserve">9 - отделом труда и социально-правовых гарантий, 5 - отделом предоставления мер социальной поддержки по оплате жилья и коммунальных услуг, 5 – заместителем начальника управления.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</w:r>
    </w:p>
    <w:p>
      <w:pPr>
        <w:pStyle w:val="948"/>
        <w:pBdr/>
        <w:spacing/>
        <w:ind w:right="0" w:firstLine="851"/>
        <w:rPr>
          <w:sz w:val="28"/>
          <w:szCs w:val="28"/>
          <w:shd w:val="clear" w:color="auto" w:fill="auto"/>
        </w:rPr>
      </w:pP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О</w:t>
      </w:r>
      <w:r>
        <w:rPr>
          <w:color w:val="000000"/>
          <w:szCs w:val="28"/>
          <w:shd w:val="clear" w:color="auto" w:fill="auto"/>
        </w:rPr>
        <w:t xml:space="preserve">бращени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я,</w:t>
      </w:r>
      <w:r>
        <w:rPr>
          <w:color w:val="000000"/>
          <w:szCs w:val="28"/>
          <w:shd w:val="clear" w:color="auto" w:fill="auto"/>
        </w:rPr>
        <w:t xml:space="preserve"> которые содержали несколько вопросов, рассматривались отделами совместно согласно полномочиям</w:t>
      </w:r>
      <w:r>
        <w:rPr>
          <w:color w:val="000000"/>
          <w:shd w:val="clear" w:color="auto" w:fill="auto"/>
        </w:rPr>
        <w:t xml:space="preserve">.</w:t>
      </w:r>
      <w:r>
        <w:rPr>
          <w:color w:val="000000"/>
          <w:szCs w:val="28"/>
          <w:shd w:val="clear" w:color="auto" w:fill="auto"/>
        </w:rPr>
        <w:t xml:space="preserve"> </w:t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31"/>
        <w:pBdr/>
        <w:spacing/>
        <w:ind w:right="0" w:firstLine="851"/>
        <w:jc w:val="both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31"/>
        <w:pBdr/>
        <w:spacing/>
        <w:ind w:right="0" w:firstLine="851"/>
        <w:jc w:val="both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  <w:t xml:space="preserve">Анализ числа поступивших обращений с разбивкой по отделам представлен в таблице 4.</w:t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31"/>
        <w:pBdr/>
        <w:spacing/>
        <w:ind w:right="0" w:firstLine="1080"/>
        <w:jc w:val="right"/>
        <w:rPr>
          <w:b/>
          <w:shd w:val="clear" w:color="auto" w:fill="auto"/>
        </w:rPr>
      </w:pPr>
      <w:r>
        <w:rPr>
          <w:sz w:val="28"/>
          <w:szCs w:val="28"/>
          <w:shd w:val="clear" w:color="auto" w:fill="auto"/>
        </w:rPr>
        <w:t xml:space="preserve">Таблица 4</w:t>
      </w: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</w:p>
    <w:tbl>
      <w:tblPr>
        <w:tblInd w:w="-153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02"/>
        <w:gridCol w:w="3665"/>
        <w:gridCol w:w="1905"/>
        <w:gridCol w:w="1578"/>
        <w:gridCol w:w="2130"/>
      </w:tblGrid>
      <w:tr>
        <w:trPr>
          <w:trHeight w:val="8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vMerge w:val="restart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b/>
                <w:shd w:val="clear" w:color="auto" w:fill="auto"/>
              </w:rPr>
            </w:pPr>
            <w:r>
              <w:rPr>
                <w:b/>
                <w:shd w:val="clear" w:color="auto" w:fill="auto"/>
              </w:rPr>
              <w:t xml:space="preserve">№</w:t>
            </w: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</w:p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b/>
                <w:shd w:val="clear" w:color="auto" w:fill="auto"/>
              </w:rPr>
              <w:t xml:space="preserve">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vMerge w:val="restart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b/>
                <w:shd w:val="clear" w:color="auto" w:fill="auto"/>
              </w:rPr>
              <w:t xml:space="preserve">Наименование отдела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b/>
                <w:shd w:val="clear" w:color="auto" w:fill="auto"/>
              </w:rPr>
            </w:pPr>
            <w:r>
              <w:rPr>
                <w:b/>
                <w:shd w:val="clear" w:color="auto" w:fill="auto"/>
              </w:rPr>
              <w:t xml:space="preserve">Подготовлено</w:t>
            </w: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</w:p>
          <w:p>
            <w:pPr>
              <w:pStyle w:val="931"/>
              <w:pBdr/>
              <w:spacing/>
              <w:ind/>
              <w:jc w:val="center"/>
              <w:rPr>
                <w:b/>
                <w:shd w:val="clear" w:color="auto" w:fill="auto"/>
              </w:rPr>
            </w:pPr>
            <w:r>
              <w:rPr>
                <w:b/>
                <w:shd w:val="clear" w:color="auto" w:fill="auto"/>
              </w:rPr>
              <w:t xml:space="preserve"> </w:t>
            </w:r>
            <w:r>
              <w:rPr>
                <w:b/>
                <w:shd w:val="clear" w:color="auto" w:fill="auto"/>
              </w:rPr>
              <w:t xml:space="preserve">ответов по </w:t>
            </w: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</w:p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b/>
                <w:shd w:val="clear" w:color="auto" w:fill="auto"/>
              </w:rPr>
              <w:t xml:space="preserve">обращениям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vMerge w:val="restart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b/>
                <w:shd w:val="clear" w:color="auto" w:fill="auto"/>
              </w:rPr>
            </w:pPr>
            <w:r>
              <w:rPr>
                <w:b/>
                <w:shd w:val="clear" w:color="auto" w:fill="auto"/>
              </w:rPr>
              <w:t xml:space="preserve">Устный прием граждан </w:t>
            </w: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</w:p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b/>
                <w:shd w:val="clear" w:color="auto" w:fill="auto"/>
              </w:rPr>
              <w:t xml:space="preserve">за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</w:t>
            </w:r>
            <w:r>
              <w:rPr>
                <w:b/>
                <w:shd w:val="clear" w:color="auto" w:fill="auto"/>
              </w:rPr>
              <w:t xml:space="preserve"> полугодие 2026 г.</w:t>
            </w:r>
            <w:r/>
          </w:p>
        </w:tc>
      </w:tr>
      <w:tr>
        <w:trPr>
          <w:trHeight w:val="48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vMerge w:val="continue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b/>
                <w:shd w:val="clear" w:color="auto" w:fill="auto"/>
              </w:rPr>
            </w:pP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vMerge w:val="continue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b/>
                <w:shd w:val="clear" w:color="auto" w:fill="auto"/>
              </w:rPr>
            </w:pP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b/>
                <w:shd w:val="clear" w:color="auto" w:fill="auto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 полугодие</w:t>
            </w: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</w:p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b/>
                <w:shd w:val="clear" w:color="auto" w:fill="auto"/>
              </w:rPr>
              <w:t xml:space="preserve">2025г.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b/>
                <w:shd w:val="clear" w:color="auto" w:fill="auto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 полугодие</w:t>
            </w: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</w:p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b/>
                <w:shd w:val="clear" w:color="auto" w:fill="auto"/>
              </w:rPr>
              <w:t xml:space="preserve">2026г.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vMerge w:val="continue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b/>
                <w:shd w:val="clear" w:color="auto" w:fill="auto"/>
              </w:rPr>
            </w:pP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1.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highlight w:val="none"/>
              </w:rPr>
            </w:pPr>
            <w:r>
              <w:rPr>
                <w:shd w:val="clear" w:color="auto" w:fill="auto"/>
              </w:rPr>
              <w:t xml:space="preserve">Отдел труда и социально-правовых гарантий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 w14:paraId="3CEDB1AD">
            <w:pPr>
              <w:pBdr/>
              <w:spacing/>
              <w:ind/>
              <w:jc w:val="both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yellow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394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2.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highlight w:val="none"/>
              </w:rPr>
            </w:pPr>
            <w:r>
              <w:rPr>
                <w:shd w:val="clear" w:color="auto" w:fill="auto"/>
              </w:rPr>
              <w:t xml:space="preserve">Отдел социальной помощи и поддержки населения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 w14:paraId="085C06D3">
            <w:pPr>
              <w:pBdr/>
              <w:spacing/>
              <w:ind/>
              <w:jc w:val="both"/>
              <w:rPr>
                <w:highlight w:val="none"/>
              </w:rPr>
            </w:pP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14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yellow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284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3.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highlight w:val="none"/>
              </w:rPr>
            </w:pPr>
            <w:r>
              <w:rPr>
                <w:shd w:val="clear" w:color="auto" w:fill="auto"/>
              </w:rPr>
              <w:t xml:space="preserve">Отдел предоставления мер социальной поддержки по оплате жилья и коммунальных услуг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yellow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65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4.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highlight w:val="none"/>
              </w:rPr>
            </w:pPr>
            <w:r>
              <w:rPr>
                <w:shd w:val="clear" w:color="auto" w:fill="auto"/>
              </w:rPr>
              <w:t xml:space="preserve">Начальник управления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 w14:paraId="4F31DCE5">
            <w:pPr>
              <w:pBdr/>
              <w:spacing/>
              <w:ind/>
              <w:jc w:val="both"/>
              <w:rPr/>
            </w:pP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-</w:t>
            </w:r>
            <w:r/>
          </w:p>
        </w:tc>
      </w:tr>
      <w:tr>
        <w:trPr>
          <w:trHeight w:val="5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shd w:val="clear" w:color="auto" w:fill="auto"/>
              </w:rPr>
              <w:t xml:space="preserve">5.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highlight w:val="none"/>
              </w:rPr>
            </w:pPr>
            <w:r>
              <w:rPr>
                <w:shd w:val="clear" w:color="auto" w:fill="auto"/>
              </w:rPr>
              <w:t xml:space="preserve">Заместитель начальника управления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>
                <w:b/>
                <w:shd w:val="clear" w:color="auto" w:fill="auto"/>
              </w:rPr>
            </w:pP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  <w:r>
              <w:rPr>
                <w:b/>
                <w:shd w:val="clear" w:color="auto" w:fil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both"/>
              <w:rPr/>
            </w:pPr>
            <w:r>
              <w:rPr>
                <w:b/>
                <w:shd w:val="clear" w:color="auto" w:fill="auto"/>
              </w:rPr>
              <w:t xml:space="preserve">ИТОГО: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/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33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931"/>
              <w:pBdr/>
              <w:spacing/>
              <w:ind/>
              <w:jc w:val="center"/>
              <w:rPr>
                <w:highlight w:val="yellow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highlight w:val="none"/>
                <w:shd w:val="clear" w:color="auto" w:fill="auto"/>
                <w:lang w:val="ru-RU" w:eastAsia="zh-CN" w:bidi="ar-SA"/>
              </w:rPr>
              <w:t xml:space="preserve">745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</w:tbl>
    <w:p>
      <w:pPr>
        <w:pStyle w:val="931"/>
        <w:pBdr/>
        <w:spacing/>
        <w:ind w:right="0" w:firstLine="1080"/>
        <w:jc w:val="both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31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С документами, за консультациями и справками на устный прием в Управление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в</w:t>
      </w:r>
      <w:r>
        <w:rPr>
          <w:color w:val="000000"/>
          <w:sz w:val="28"/>
          <w:szCs w:val="28"/>
          <w:shd w:val="clear" w:color="auto" w:fill="auto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1 полугодии  </w:t>
      </w:r>
      <w:r>
        <w:rPr>
          <w:color w:val="000000"/>
          <w:sz w:val="28"/>
          <w:szCs w:val="28"/>
          <w:shd w:val="clear" w:color="auto" w:fill="auto"/>
        </w:rPr>
        <w:t xml:space="preserve">2026 года обратились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745</w:t>
      </w:r>
      <w:r>
        <w:rPr>
          <w:color w:val="000000"/>
          <w:sz w:val="28"/>
          <w:szCs w:val="28"/>
          <w:shd w:val="clear" w:color="auto" w:fill="auto"/>
        </w:rPr>
        <w:t xml:space="preserve"> человек, что на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240</w:t>
      </w:r>
      <w:r>
        <w:rPr>
          <w:color w:val="000000"/>
          <w:sz w:val="28"/>
          <w:szCs w:val="28"/>
          <w:shd w:val="clear" w:color="auto" w:fill="auto"/>
        </w:rPr>
        <w:t xml:space="preserve"> человек больше, чем в аналогичном периоде 202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5</w:t>
      </w:r>
      <w:r>
        <w:rPr>
          <w:color w:val="000000"/>
          <w:sz w:val="28"/>
          <w:szCs w:val="28"/>
          <w:shd w:val="clear" w:color="auto" w:fill="auto"/>
        </w:rPr>
        <w:t xml:space="preserve"> года (505 человек). Это связано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с</w:t>
      </w:r>
      <w:r>
        <w:rPr>
          <w:color w:val="000000"/>
          <w:sz w:val="28"/>
          <w:szCs w:val="28"/>
          <w:shd w:val="clear" w:color="auto" w:fill="auto"/>
        </w:rPr>
        <w:t xml:space="preserve"> увеличением консультаций по назначению отдельных </w:t>
      </w:r>
      <w:r>
        <w:rPr>
          <w:color w:val="000000"/>
          <w:sz w:val="28"/>
          <w:szCs w:val="28"/>
          <w:shd w:val="clear" w:color="auto" w:fill="auto"/>
        </w:rPr>
        <w:t xml:space="preserve">выплат </w:t>
      </w:r>
      <w:r>
        <w:rPr>
          <w:sz w:val="28"/>
          <w:szCs w:val="28"/>
          <w:shd w:val="clear" w:color="auto" w:fill="auto"/>
        </w:rPr>
        <w:t xml:space="preserve">участникам СВО и членам их семей.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31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Продолжается информационно – разъяснительная работа положений действующего законодательства в средствах массовой информации. Так, в          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анализируемом периоде</w:t>
      </w:r>
      <w:r>
        <w:rPr>
          <w:color w:val="000000"/>
          <w:sz w:val="28"/>
          <w:szCs w:val="28"/>
          <w:shd w:val="clear" w:color="auto" w:fill="auto"/>
        </w:rPr>
        <w:t xml:space="preserve"> </w:t>
      </w:r>
      <w:r>
        <w:rPr>
          <w:color w:val="000000"/>
          <w:shd w:val="clear" w:color="auto" w:fill="auto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  <w:t xml:space="preserve">в</w:t>
      </w:r>
      <w:r>
        <w:rPr>
          <w:color w:val="000000"/>
          <w:shd w:val="clear" w:color="auto" w:fill="auto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  <w:t xml:space="preserve">рамках проведения работы по снижению количества обращений граждан и усиления разъяснительной работы Управлением размещено на официальном сайте в сети «Интернет» </w:t>
      </w:r>
      <w:r>
        <w:rPr>
          <w:rFonts w:eastAsia="Times New Roman" w:cs="Times New Roman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53 </w:t>
      </w:r>
      <w:r>
        <w:rPr>
          <w:color w:val="000000"/>
          <w:sz w:val="28"/>
          <w:szCs w:val="28"/>
          <w:shd w:val="clear" w:color="auto" w:fill="auto"/>
        </w:rPr>
        <w:t xml:space="preserve">информационн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ых</w:t>
      </w:r>
      <w:r>
        <w:rPr>
          <w:color w:val="000000"/>
          <w:sz w:val="28"/>
          <w:szCs w:val="28"/>
          <w:shd w:val="clear" w:color="auto" w:fill="auto"/>
        </w:rPr>
        <w:t xml:space="preserve"> материал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а</w:t>
      </w:r>
      <w:r>
        <w:rPr>
          <w:color w:val="000000"/>
          <w:sz w:val="28"/>
          <w:szCs w:val="28"/>
          <w:shd w:val="clear" w:color="auto" w:fill="auto"/>
        </w:rPr>
        <w:t xml:space="preserve">, из них в территориальные управления и организации округа направлено 32 информационных бюллетен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ей</w:t>
      </w:r>
      <w:r>
        <w:rPr>
          <w:color w:val="000000"/>
          <w:sz w:val="28"/>
          <w:szCs w:val="28"/>
          <w:shd w:val="clear" w:color="auto" w:fill="auto"/>
        </w:rPr>
        <w:t xml:space="preserve">.</w:t>
      </w:r>
      <w:r>
        <w:rPr>
          <w:b/>
          <w:color w:val="000000"/>
          <w:sz w:val="28"/>
          <w:szCs w:val="28"/>
          <w:shd w:val="clear" w:color="auto" w:fill="auto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  <w:t xml:space="preserve">В</w:t>
      </w:r>
      <w:r>
        <w:rPr>
          <w:b/>
          <w:color w:val="000000"/>
          <w:sz w:val="28"/>
          <w:szCs w:val="28"/>
          <w:shd w:val="clear" w:color="auto" w:fill="auto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  <w:t xml:space="preserve">социальных сетях «</w:t>
      </w:r>
      <w:r>
        <w:rPr>
          <w:color w:val="000000"/>
          <w:sz w:val="28"/>
          <w:szCs w:val="28"/>
          <w:shd w:val="clear" w:color="auto" w:fill="auto"/>
          <w:lang w:val="en-US"/>
        </w:rPr>
        <w:t xml:space="preserve">Telegram</w:t>
      </w:r>
      <w:r>
        <w:rPr>
          <w:color w:val="000000"/>
          <w:sz w:val="28"/>
          <w:szCs w:val="28"/>
          <w:shd w:val="clear" w:color="auto" w:fill="auto"/>
        </w:rPr>
        <w:t xml:space="preserve">», «ВКонтакте» размещен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о283</w:t>
      </w:r>
      <w:r>
        <w:rPr>
          <w:color w:val="000000"/>
          <w:sz w:val="28"/>
          <w:szCs w:val="28"/>
          <w:shd w:val="clear" w:color="auto" w:fill="auto"/>
        </w:rPr>
        <w:t xml:space="preserve"> публикаци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и</w:t>
      </w:r>
      <w:r>
        <w:rPr>
          <w:color w:val="000000"/>
          <w:sz w:val="28"/>
          <w:szCs w:val="28"/>
          <w:shd w:val="clear" w:color="auto" w:fill="auto"/>
        </w:rPr>
        <w:t xml:space="preserve">.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31"/>
        <w:pBdr/>
        <w:spacing/>
        <w:ind w:right="0" w:firstLine="709"/>
        <w:jc w:val="both"/>
        <w:rPr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Управлением проведена разъяснительная работа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о</w:t>
      </w:r>
      <w:r>
        <w:rPr>
          <w:color w:val="000000"/>
          <w:sz w:val="28"/>
          <w:szCs w:val="28"/>
          <w:shd w:val="clear" w:color="auto" w:fill="auto"/>
        </w:rPr>
        <w:t xml:space="preserve"> единовременной денежной компенсации части расходов на приобретение внутридомового газового оборудования, о требованиях законодательства в области охраны труда, о легализации трудовых отношений, о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предоставлении мер социальной поддержки по оплате жилого помещения и коммунальных услуг</w:t>
      </w:r>
      <w:r>
        <w:rPr>
          <w:color w:val="000000"/>
          <w:sz w:val="28"/>
          <w:szCs w:val="28"/>
          <w:shd w:val="clear" w:color="auto" w:fill="auto"/>
        </w:rPr>
        <w:t xml:space="preserve"> и другие. </w:t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31"/>
        <w:pBdr/>
        <w:spacing/>
        <w:ind w:right="0" w:firstLine="709"/>
        <w:jc w:val="both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56"/>
        <w:pBdr/>
        <w:spacing/>
        <w:ind/>
        <w:rPr>
          <w:b/>
          <w:shd w:val="clear" w:color="auto" w:fill="auto"/>
        </w:rPr>
      </w:pPr>
      <w:r>
        <w:rPr>
          <w:rFonts w:ascii="Arial" w:hAnsi="Arial" w:cs="Arial"/>
          <w:color w:val="152635"/>
          <w:sz w:val="18"/>
          <w:szCs w:val="18"/>
          <w:shd w:val="clear" w:color="auto" w:fill="auto"/>
        </w:rPr>
        <w:t xml:space="preserve">.</w:t>
      </w:r>
      <w:r>
        <w:rPr>
          <w:b/>
          <w:shd w:val="clear" w:color="auto" w:fill="auto"/>
        </w:rPr>
        <w:t xml:space="preserve">В целях повышения эффективности работы с обращениями граждан, снижения количества обращений граждан, поступающих в Управление, заместителю начальника управления И.Е.Пугачевой, начальникам отделов Некрасовой И.А., Жалыбиной С.С., Юдиной И.В.:</w:t>
      </w: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</w:p>
    <w:p>
      <w:pPr>
        <w:pStyle w:val="956"/>
        <w:pBdr/>
        <w:spacing/>
        <w:ind w:right="0" w:firstLine="1080"/>
        <w:rPr>
          <w:b/>
          <w:shd w:val="clear" w:color="auto" w:fill="auto"/>
        </w:rPr>
      </w:pP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  <w:r>
        <w:rPr>
          <w:b/>
          <w:shd w:val="clear" w:color="auto" w:fill="auto"/>
        </w:rPr>
      </w:r>
    </w:p>
    <w:p>
      <w:pPr>
        <w:pStyle w:val="956"/>
        <w:pBdr/>
        <w:spacing/>
        <w:ind/>
        <w:rPr>
          <w:shd w:val="clear" w:color="auto" w:fill="auto"/>
        </w:rPr>
      </w:pPr>
      <w:r>
        <w:rPr>
          <w:shd w:val="clear" w:color="auto" w:fill="auto"/>
        </w:rPr>
        <w:t xml:space="preserve">1. Качественно проводить консультировани</w:t>
      </w:r>
      <w:r>
        <w:rPr>
          <w:rFonts w:eastAsia="Times New Roman" w:cs="Times New Roman"/>
          <w:color w:val="000000"/>
          <w:sz w:val="28"/>
          <w:szCs w:val="24"/>
          <w:shd w:val="clear" w:color="auto" w:fill="auto"/>
          <w:lang w:val="ru-RU" w:eastAsia="zh-CN" w:bidi="ar-SA"/>
        </w:rPr>
        <w:t xml:space="preserve">е</w:t>
      </w:r>
      <w:r>
        <w:rPr>
          <w:shd w:val="clear" w:color="auto" w:fill="auto"/>
        </w:rPr>
        <w:t xml:space="preserve"> посетителей специалистами управления, не допускать случаи необоснованного отказа в решении вопросов по предоставлению мер социальной поддержки, поводы повторных обращений или обращений в вышестоящие органы.</w:t>
      </w:r>
      <w:r>
        <w:rPr>
          <w:shd w:val="clear" w:color="auto" w:fill="auto"/>
        </w:rPr>
      </w:r>
      <w:r>
        <w:rPr>
          <w:shd w:val="clear" w:color="auto" w:fill="auto"/>
        </w:rPr>
      </w:r>
    </w:p>
    <w:p>
      <w:pPr>
        <w:pStyle w:val="956"/>
        <w:pBdr/>
        <w:spacing/>
        <w:ind w:right="0" w:firstLine="993"/>
        <w:rPr>
          <w:shd w:val="clear" w:color="auto" w:fill="auto"/>
        </w:rPr>
      </w:pPr>
      <w:r>
        <w:rPr>
          <w:shd w:val="clear" w:color="auto" w:fill="auto"/>
        </w:rPr>
      </w:r>
      <w:r>
        <w:rPr>
          <w:shd w:val="clear" w:color="auto" w:fill="auto"/>
        </w:rPr>
      </w:r>
      <w:r>
        <w:rPr>
          <w:shd w:val="clear" w:color="auto" w:fill="auto"/>
        </w:rPr>
      </w:r>
    </w:p>
    <w:p>
      <w:pPr>
        <w:pStyle w:val="931"/>
        <w:widowControl w:val="true"/>
        <w:pBdr/>
        <w:bidi w:val="false"/>
        <w:spacing/>
        <w:ind w:right="0" w:firstLine="737"/>
        <w:jc w:val="both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  <w:t xml:space="preserve">2. Продолжить проведение разъяснительной работы среди населения Грачевского округа посредством СМИ, официа</w:t>
      </w:r>
      <w:r>
        <w:rPr>
          <w:sz w:val="28"/>
          <w:szCs w:val="28"/>
          <w:shd w:val="clear" w:color="auto" w:fill="auto"/>
        </w:rPr>
        <w:t xml:space="preserve">льного сайта Управления, а также социальных сетей о порядке и условиях назначения государственной социальной помощи, положительных примерах действия «активных» социальных контрактов, о положенным мерах социальной поддержки участникам СВО и членам их семей.</w:t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31"/>
        <w:pBdr/>
        <w:spacing/>
        <w:ind w:right="0" w:firstLine="993"/>
        <w:jc w:val="both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31"/>
        <w:widowControl w:val="true"/>
        <w:pBdr/>
        <w:bidi w:val="false"/>
        <w:spacing/>
        <w:ind w:right="0" w:firstLine="737"/>
        <w:jc w:val="both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  <w:t xml:space="preserve">3.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Своевременно направлять </w:t>
      </w:r>
      <w:r>
        <w:rPr>
          <w:sz w:val="28"/>
          <w:szCs w:val="28"/>
          <w:shd w:val="clear" w:color="auto" w:fill="auto"/>
        </w:rPr>
        <w:t xml:space="preserve">работодател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ям</w:t>
      </w:r>
      <w:r>
        <w:rPr>
          <w:sz w:val="28"/>
          <w:szCs w:val="28"/>
          <w:shd w:val="clear" w:color="auto" w:fill="auto"/>
        </w:rPr>
        <w:t xml:space="preserve"> и работник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ам</w:t>
      </w:r>
      <w:r>
        <w:rPr>
          <w:sz w:val="28"/>
          <w:szCs w:val="28"/>
          <w:shd w:val="clear" w:color="auto" w:fill="auto"/>
        </w:rPr>
        <w:t xml:space="preserve"> учреждений и организаций округа актуальную информацию по вопросам соблюдения правил безопасности и охраны труда на рабочих местах в целях профилактики тяжелого, группового травматизма, травматизма со смертельным исходом.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И</w:t>
      </w:r>
      <w:r>
        <w:rPr>
          <w:sz w:val="28"/>
          <w:szCs w:val="28"/>
          <w:shd w:val="clear" w:color="auto" w:fill="auto"/>
        </w:rPr>
        <w:t xml:space="preserve">нформировать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 работодателя об</w:t>
      </w:r>
      <w:r>
        <w:rPr>
          <w:sz w:val="28"/>
          <w:szCs w:val="28"/>
          <w:shd w:val="clear" w:color="auto" w:fill="auto"/>
        </w:rPr>
        <w:t xml:space="preserve"> изменениях действующего законодательства в сфере охраны труда.</w:t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31"/>
        <w:pBdr/>
        <w:spacing/>
        <w:ind w:right="0" w:firstLine="993"/>
        <w:jc w:val="both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31"/>
        <w:widowControl w:val="true"/>
        <w:pBdr/>
        <w:bidi w:val="false"/>
        <w:spacing/>
        <w:ind w:right="0" w:firstLine="680"/>
        <w:jc w:val="both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  <w:t xml:space="preserve">4. Продолжить проведение информационно-разъяснительной работы о недопущении неформальных трудовых отношений, об ответственности за нарушение трудовых прав работников при приеме на работу. </w:t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31"/>
        <w:pBdr/>
        <w:spacing/>
        <w:ind w:right="0" w:firstLine="993"/>
        <w:jc w:val="both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31"/>
        <w:widowControl w:val="true"/>
        <w:pBdr/>
        <w:bidi w:val="false"/>
        <w:spacing/>
        <w:ind w:right="0" w:firstLine="737"/>
        <w:jc w:val="both"/>
        <w:rPr>
          <w:sz w:val="28"/>
          <w:szCs w:val="28"/>
          <w:shd w:val="clear" w:color="auto" w:fill="auto"/>
        </w:rPr>
      </w:pP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5</w:t>
      </w:r>
      <w:r>
        <w:rPr>
          <w:sz w:val="28"/>
          <w:szCs w:val="28"/>
          <w:shd w:val="clear" w:color="auto" w:fill="auto"/>
        </w:rPr>
        <w:t xml:space="preserve">. Обновить информационные стенды Управления в соответствии с изменениями действующего законодательства.</w:t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56"/>
        <w:pBdr/>
        <w:spacing/>
        <w:ind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>
      <w:pPr>
        <w:pStyle w:val="956"/>
        <w:pBdr/>
        <w:spacing/>
        <w:ind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  <w:r>
        <w:rPr>
          <w:sz w:val="28"/>
          <w:szCs w:val="28"/>
          <w:shd w:val="clear" w:color="auto" w:fill="auto"/>
        </w:rPr>
      </w:r>
    </w:p>
    <w:p w14:paraId="35AF9002">
      <w:pPr>
        <w:pStyle w:val="956"/>
        <w:pBdr/>
        <w:spacing/>
        <w:ind/>
        <w:rPr>
          <w:sz w:val="28"/>
          <w:szCs w:val="28"/>
        </w:rPr>
      </w:pPr>
      <w:r>
        <w:rPr>
          <w:highlight w:val="none"/>
          <w:shd w:val="clear" w:color="auto" w:fill="auto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6"/>
        <w:pBdr/>
        <w:spacing/>
        <w:ind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   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8"/>
          <w:szCs w:val="28"/>
          <w:shd w:val="clear" w:color="auto" w:fill="auto"/>
        </w:rPr>
        <w:t xml:space="preserve">Начальник управления                                                                          Ю.А.Луценко</w:t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rFonts w:eastAsia="Times New Roman" w:cs="Times New Roman"/>
          <w:color w:val="000000"/>
          <w:sz w:val="20"/>
          <w:szCs w:val="20"/>
          <w:shd w:val="clear" w:color="auto" w:fill="auto"/>
          <w:lang w:val="ru-RU" w:eastAsia="zh-CN" w:bidi="ar-SA"/>
        </w:rPr>
        <w:t xml:space="preserve">Пугачева Ирина Евгеньевна</w:t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p>
      <w:pPr>
        <w:pStyle w:val="931"/>
        <w:pBdr/>
        <w:spacing/>
        <w:ind/>
        <w:jc w:val="both"/>
        <w:rPr>
          <w:sz w:val="20"/>
          <w:szCs w:val="20"/>
          <w:shd w:val="clear" w:color="auto" w:fill="auto"/>
        </w:rPr>
      </w:pPr>
      <w:r>
        <w:rPr>
          <w:sz w:val="20"/>
          <w:szCs w:val="20"/>
          <w:shd w:val="clear" w:color="auto" w:fill="auto"/>
        </w:rPr>
        <w:t xml:space="preserve">8(865 40) 4-09-71</w:t>
      </w:r>
      <w:r>
        <w:rPr>
          <w:sz w:val="20"/>
          <w:szCs w:val="20"/>
          <w:shd w:val="clear" w:color="auto" w:fill="auto"/>
        </w:rPr>
      </w:r>
      <w:r>
        <w:rPr>
          <w:sz w:val="20"/>
          <w:szCs w:val="20"/>
          <w:shd w:val="clear" w:color="auto" w:fill="auto"/>
        </w:rPr>
      </w:r>
    </w:p>
    <w:sectPr>
      <w:headerReference w:type="default" r:id="rId8"/>
      <w:headerReference w:type="first" r:id="rId9"/>
      <w:footnotePr>
        <w:numFmt w:val="decimal"/>
        <w:numRestart w:val="continuous"/>
      </w:footnotePr>
      <w:endnotePr>
        <w:numFmt w:val="lowerRoman"/>
      </w:endnotePr>
      <w:type w:val="nextPage"/>
      <w:pgSz w:h="16838" w:orient="portrait" w:w="11906"/>
      <w:pgMar w:top="993" w:right="566" w:bottom="709" w:left="1701" w:header="708" w:footer="709" w:gutter="0"/>
      <w:pgNumType w:fmt="none"/>
      <w:cols w:num="1" w:sep="0" w:space="1701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Cambria">
    <w:panose1 w:val="0204050305040603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0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524288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64465" cy="154305"/>
              <wp:effectExtent l="0" t="0" r="0" b="0"/>
              <wp:wrapSquare wrapText="bothSides"/>
              <wp:docPr id="1" name="_x0000_s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2977515" y="635"/>
                        <a:ext cx="164465" cy="1543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60"/>
                            <w:pBdr/>
                            <w:spacing/>
                            <w:ind/>
                            <w:rPr/>
                          </w:pPr>
                          <w:r>
                            <w:rPr>
                              <w:rStyle w:val="942"/>
                            </w:rPr>
                            <w:fldChar w:fldCharType="begin"/>
                          </w:r>
                          <w:r>
                            <w:rPr>
                              <w:rStyle w:val="942"/>
                            </w:rPr>
                            <w:instrText xml:space="preserve"> PAGE </w:instrText>
                          </w:r>
                          <w:r>
                            <w:rPr>
                              <w:rStyle w:val="942"/>
                            </w:rPr>
                            <w:fldChar w:fldCharType="separate"/>
                          </w:r>
                          <w:r>
                            <w:rPr>
                              <w:rStyle w:val="942"/>
                            </w:rPr>
                            <w:t xml:space="preserve">6</w:t>
                          </w:r>
                          <w:r>
                            <w:rPr>
                              <w:rStyle w:val="942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wrap="square" lIns="20320" tIns="20320" rIns="20320" bIns="20320" upright="1"/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524288;o:allowoverlap:true;o:allowincell:false;mso-position-horizontal-relative:margin;mso-position-horizontal:center;mso-position-vertical-relative:text;margin-top:0.05pt;mso-position-vertical:absolute;width:12.95pt;height:12.15pt;mso-wrap-distance-left:0.00pt;mso-wrap-distance-top:0.00pt;mso-wrap-distance-right:0.00pt;mso-wrap-distance-bottom:0.00pt;visibility:visible;" fillcolor="#FFFFFF" stroked="f">
              <v:fill opacity="0f"/>
              <w10:wrap type="square"/>
              <v:textbox inset="0,0,0,0">
                <w:txbxContent>
                  <w:p>
                    <w:pPr>
                      <w:pStyle w:val="960"/>
                      <w:pBdr/>
                      <w:spacing/>
                      <w:ind/>
                      <w:rPr/>
                    </w:pPr>
                    <w:r>
                      <w:rPr>
                        <w:rStyle w:val="942"/>
                      </w:rPr>
                      <w:fldChar w:fldCharType="begin"/>
                    </w:r>
                    <w:r>
                      <w:rPr>
                        <w:rStyle w:val="942"/>
                      </w:rPr>
                      <w:instrText xml:space="preserve"> PAGE </w:instrText>
                    </w:r>
                    <w:r>
                      <w:rPr>
                        <w:rStyle w:val="942"/>
                      </w:rPr>
                      <w:fldChar w:fldCharType="separate"/>
                    </w:r>
                    <w:r>
                      <w:rPr>
                        <w:rStyle w:val="942"/>
                      </w:rPr>
                      <w:t xml:space="preserve">6</w:t>
                    </w:r>
                    <w:r>
                      <w:rPr>
                        <w:rStyle w:val="942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0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45">
    <w:name w:val="Table Grid"/>
    <w:basedOn w:val="93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Table Grid Light"/>
    <w:basedOn w:val="93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Plain Table 1"/>
    <w:basedOn w:val="93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Plain Table 2"/>
    <w:basedOn w:val="93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Plain Table 3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Plain Table 4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Plain Table 5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1 Light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1 Light - Accent 1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1 Light - Accent 2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1 Light - Accent 3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1 Light - Accent 4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1 Light - Accent 5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1 Light - Accent 6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2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2 - Accent 1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2 - Accent 2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2 - Accent 3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2 - Accent 4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2 - Accent 5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2 - Accent 6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3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3 - Accent 1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3 - Accent 2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3 - Accent 3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3 - Accent 4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3 - Accent 5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3 - Accent 6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4"/>
    <w:basedOn w:val="93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4 - Accent 1"/>
    <w:basedOn w:val="93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4 - Accent 2"/>
    <w:basedOn w:val="93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4 - Accent 3"/>
    <w:basedOn w:val="93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4 - Accent 4"/>
    <w:basedOn w:val="93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4 - Accent 5"/>
    <w:basedOn w:val="93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4 - Accent 6"/>
    <w:basedOn w:val="93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5 Dark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5 Dark- Accent 1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5 Dark - Accent 2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5 Dark - Accent 3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5 Dark- Accent 4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5 Dark - Accent 5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5 Dark - Accent 6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6 Colorful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6 Colorful - Accent 1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6 Colorful - Accent 2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6 Colorful - Accent 3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6 Colorful - Accent 4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6 Colorful - Accent 5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6 Colorful - Accent 6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7 Colorful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7 Colorful - Accent 1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7 Colorful - Accent 2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7 Colorful - Accent 3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7 Colorful - Accent 4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7 Colorful - Accent 5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7 Colorful - Accent 6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1 Light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1 Light - Accent 1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1 Light - Accent 2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1 Light - Accent 3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1 Light - Accent 4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1 Light - Accent 5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1 Light - Accent 6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2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2 - Accent 1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2 - Accent 2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2 - Accent 3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2 - Accent 4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2 - Accent 5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2 - Accent 6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3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3 - Accent 1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3 - Accent 2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3 - Accent 3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3 - Accent 4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3 - Accent 5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3 - Accent 6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4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4 - Accent 1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4 - Accent 2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4 - Accent 3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4 - Accent 4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4 - Accent 5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4 - Accent 6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5 Dark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5 Dark - Accent 1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5 Dark - Accent 2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5 Dark - Accent 3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5 Dark - Accent 4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5 Dark - Accent 5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5 Dark - Accent 6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6 Colorful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6 Colorful - Accent 1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6 Colorful - Accent 2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6 Colorful - Accent 3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6 Colorful - Accent 4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6 Colorful - Accent 5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6 Colorful - Accent 6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7 Colorful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7 Colorful - Accent 1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7 Colorful - Accent 2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7 Colorful - Accent 3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7 Colorful - Accent 4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7 Colorful - Accent 5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7 Colorful - Accent 6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ned - Accent"/>
    <w:basedOn w:val="9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ned - Accent 1"/>
    <w:basedOn w:val="9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ned - Accent 2"/>
    <w:basedOn w:val="9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ned - Accent 3"/>
    <w:basedOn w:val="9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ned - Accent 4"/>
    <w:basedOn w:val="9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ned - Accent 5"/>
    <w:basedOn w:val="9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ned - Accent 6"/>
    <w:basedOn w:val="9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&amp; Lined - Accent"/>
    <w:basedOn w:val="9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&amp; Lined - Accent 1"/>
    <w:basedOn w:val="9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Bordered &amp; Lined - Accent 2"/>
    <w:basedOn w:val="9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Bordered &amp; Lined - Accent 3"/>
    <w:basedOn w:val="9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Bordered &amp; Lined - Accent 4"/>
    <w:basedOn w:val="9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Bordered &amp; Lined - Accent 5"/>
    <w:basedOn w:val="9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Bordered &amp; Lined - Accent 6"/>
    <w:basedOn w:val="9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Bordered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Bordered - Accent 1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Bordered - Accent 2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Bordered - Accent 3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Bordered - Accent 4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Bordered - Accent 5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Bordered - Accent 6"/>
    <w:basedOn w:val="9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71">
    <w:name w:val="Heading 1"/>
    <w:basedOn w:val="931"/>
    <w:next w:val="931"/>
    <w:link w:val="88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72">
    <w:name w:val="Heading 2"/>
    <w:basedOn w:val="931"/>
    <w:next w:val="931"/>
    <w:link w:val="88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73">
    <w:name w:val="Heading 3"/>
    <w:basedOn w:val="931"/>
    <w:next w:val="931"/>
    <w:link w:val="88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74">
    <w:name w:val="Heading 4"/>
    <w:basedOn w:val="931"/>
    <w:next w:val="931"/>
    <w:link w:val="88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75">
    <w:name w:val="Heading 5"/>
    <w:basedOn w:val="931"/>
    <w:next w:val="931"/>
    <w:link w:val="88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76">
    <w:name w:val="Heading 6"/>
    <w:basedOn w:val="931"/>
    <w:next w:val="931"/>
    <w:link w:val="88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77">
    <w:name w:val="Heading 7"/>
    <w:basedOn w:val="931"/>
    <w:next w:val="931"/>
    <w:link w:val="88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78">
    <w:name w:val="Heading 8"/>
    <w:basedOn w:val="931"/>
    <w:next w:val="931"/>
    <w:link w:val="88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79">
    <w:name w:val="Heading 9"/>
    <w:basedOn w:val="931"/>
    <w:next w:val="931"/>
    <w:link w:val="89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80" w:default="1">
    <w:name w:val="Default Paragraph Font"/>
    <w:uiPriority w:val="1"/>
    <w:semiHidden/>
    <w:unhideWhenUsed/>
    <w:pPr>
      <w:pBdr/>
      <w:spacing/>
      <w:ind/>
    </w:pPr>
  </w:style>
  <w:style w:type="numbering" w:styleId="881" w:default="1">
    <w:name w:val="No List"/>
    <w:uiPriority w:val="99"/>
    <w:semiHidden/>
    <w:unhideWhenUsed/>
    <w:pPr>
      <w:pBdr/>
      <w:spacing/>
      <w:ind/>
    </w:pPr>
  </w:style>
  <w:style w:type="character" w:styleId="882">
    <w:name w:val="Heading 1 Char"/>
    <w:basedOn w:val="880"/>
    <w:link w:val="87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83">
    <w:name w:val="Heading 2 Char"/>
    <w:basedOn w:val="880"/>
    <w:link w:val="87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84">
    <w:name w:val="Heading 3 Char"/>
    <w:basedOn w:val="880"/>
    <w:link w:val="87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85">
    <w:name w:val="Heading 4 Char"/>
    <w:basedOn w:val="880"/>
    <w:link w:val="87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86">
    <w:name w:val="Heading 5 Char"/>
    <w:basedOn w:val="880"/>
    <w:link w:val="87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87">
    <w:name w:val="Heading 6 Char"/>
    <w:basedOn w:val="880"/>
    <w:link w:val="87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88">
    <w:name w:val="Heading 7 Char"/>
    <w:basedOn w:val="880"/>
    <w:link w:val="87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89">
    <w:name w:val="Heading 8 Char"/>
    <w:basedOn w:val="880"/>
    <w:link w:val="87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90">
    <w:name w:val="Heading 9 Char"/>
    <w:basedOn w:val="880"/>
    <w:link w:val="87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91">
    <w:name w:val="Title"/>
    <w:basedOn w:val="931"/>
    <w:next w:val="931"/>
    <w:link w:val="89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92">
    <w:name w:val="Title Char"/>
    <w:basedOn w:val="880"/>
    <w:link w:val="89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93">
    <w:name w:val="Subtitle"/>
    <w:basedOn w:val="931"/>
    <w:next w:val="931"/>
    <w:link w:val="89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94">
    <w:name w:val="Subtitle Char"/>
    <w:basedOn w:val="880"/>
    <w:link w:val="89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95">
    <w:name w:val="Quote"/>
    <w:basedOn w:val="931"/>
    <w:next w:val="931"/>
    <w:link w:val="89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96">
    <w:name w:val="Quote Char"/>
    <w:basedOn w:val="880"/>
    <w:link w:val="895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97">
    <w:name w:val="List Paragraph"/>
    <w:basedOn w:val="931"/>
    <w:uiPriority w:val="34"/>
    <w:qFormat/>
    <w:pPr>
      <w:pBdr/>
      <w:spacing/>
      <w:ind w:left="720"/>
      <w:contextualSpacing w:val="true"/>
    </w:pPr>
  </w:style>
  <w:style w:type="character" w:styleId="898">
    <w:name w:val="Intense Emphasis"/>
    <w:basedOn w:val="88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99">
    <w:name w:val="Intense Quote"/>
    <w:basedOn w:val="931"/>
    <w:next w:val="931"/>
    <w:link w:val="90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00">
    <w:name w:val="Intense Quote Char"/>
    <w:basedOn w:val="880"/>
    <w:link w:val="89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01">
    <w:name w:val="Intense Reference"/>
    <w:basedOn w:val="88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02">
    <w:name w:val="No Spacing"/>
    <w:basedOn w:val="931"/>
    <w:uiPriority w:val="1"/>
    <w:qFormat/>
    <w:pPr>
      <w:pBdr/>
      <w:spacing w:after="0" w:line="240" w:lineRule="auto"/>
      <w:ind/>
    </w:pPr>
  </w:style>
  <w:style w:type="character" w:styleId="903">
    <w:name w:val="Subtle Emphasis"/>
    <w:basedOn w:val="88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04">
    <w:name w:val="Emphasis"/>
    <w:basedOn w:val="880"/>
    <w:uiPriority w:val="20"/>
    <w:qFormat/>
    <w:pPr>
      <w:pBdr/>
      <w:spacing/>
      <w:ind/>
    </w:pPr>
    <w:rPr>
      <w:i/>
      <w:iCs/>
    </w:rPr>
  </w:style>
  <w:style w:type="character" w:styleId="905">
    <w:name w:val="Strong"/>
    <w:basedOn w:val="880"/>
    <w:uiPriority w:val="22"/>
    <w:qFormat/>
    <w:pPr>
      <w:pBdr/>
      <w:spacing/>
      <w:ind/>
    </w:pPr>
    <w:rPr>
      <w:b/>
      <w:bCs/>
    </w:rPr>
  </w:style>
  <w:style w:type="character" w:styleId="906">
    <w:name w:val="Subtle Reference"/>
    <w:basedOn w:val="88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07">
    <w:name w:val="Book Title"/>
    <w:basedOn w:val="88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08">
    <w:name w:val="Header Char"/>
    <w:basedOn w:val="880"/>
    <w:link w:val="960"/>
    <w:uiPriority w:val="99"/>
    <w:pPr>
      <w:pBdr/>
      <w:spacing/>
      <w:ind/>
    </w:pPr>
  </w:style>
  <w:style w:type="character" w:styleId="909">
    <w:name w:val="Footer Char"/>
    <w:basedOn w:val="880"/>
    <w:link w:val="961"/>
    <w:uiPriority w:val="99"/>
    <w:pPr>
      <w:pBdr/>
      <w:spacing/>
      <w:ind/>
    </w:pPr>
  </w:style>
  <w:style w:type="paragraph" w:styleId="910">
    <w:name w:val="footnote text"/>
    <w:basedOn w:val="931"/>
    <w:link w:val="91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1">
    <w:name w:val="Footnote Text Char"/>
    <w:basedOn w:val="880"/>
    <w:link w:val="910"/>
    <w:uiPriority w:val="99"/>
    <w:semiHidden/>
    <w:pPr>
      <w:pBdr/>
      <w:spacing/>
      <w:ind/>
    </w:pPr>
    <w:rPr>
      <w:sz w:val="20"/>
      <w:szCs w:val="20"/>
    </w:rPr>
  </w:style>
  <w:style w:type="character" w:styleId="912">
    <w:name w:val="footnote reference"/>
    <w:basedOn w:val="880"/>
    <w:uiPriority w:val="99"/>
    <w:semiHidden/>
    <w:unhideWhenUsed/>
    <w:pPr>
      <w:pBdr/>
      <w:spacing/>
      <w:ind/>
    </w:pPr>
    <w:rPr>
      <w:vertAlign w:val="superscript"/>
    </w:rPr>
  </w:style>
  <w:style w:type="paragraph" w:styleId="913">
    <w:name w:val="endnote text"/>
    <w:basedOn w:val="931"/>
    <w:link w:val="91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4">
    <w:name w:val="Endnote Text Char"/>
    <w:basedOn w:val="880"/>
    <w:link w:val="913"/>
    <w:uiPriority w:val="99"/>
    <w:semiHidden/>
    <w:pPr>
      <w:pBdr/>
      <w:spacing/>
      <w:ind/>
    </w:pPr>
    <w:rPr>
      <w:sz w:val="20"/>
      <w:szCs w:val="20"/>
    </w:rPr>
  </w:style>
  <w:style w:type="character" w:styleId="915">
    <w:name w:val="endnote reference"/>
    <w:basedOn w:val="880"/>
    <w:uiPriority w:val="99"/>
    <w:semiHidden/>
    <w:unhideWhenUsed/>
    <w:pPr>
      <w:pBdr/>
      <w:spacing/>
      <w:ind/>
    </w:pPr>
    <w:rPr>
      <w:vertAlign w:val="superscript"/>
    </w:rPr>
  </w:style>
  <w:style w:type="character" w:styleId="916">
    <w:name w:val="Hyperlink"/>
    <w:basedOn w:val="88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17">
    <w:name w:val="FollowedHyperlink"/>
    <w:basedOn w:val="88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18">
    <w:name w:val="toc 1"/>
    <w:basedOn w:val="931"/>
    <w:next w:val="931"/>
    <w:uiPriority w:val="39"/>
    <w:unhideWhenUsed/>
    <w:pPr>
      <w:pBdr/>
      <w:spacing w:after="100"/>
      <w:ind/>
    </w:pPr>
  </w:style>
  <w:style w:type="paragraph" w:styleId="919">
    <w:name w:val="toc 2"/>
    <w:basedOn w:val="931"/>
    <w:next w:val="931"/>
    <w:uiPriority w:val="39"/>
    <w:unhideWhenUsed/>
    <w:pPr>
      <w:pBdr/>
      <w:spacing w:after="100"/>
      <w:ind w:left="220"/>
    </w:pPr>
  </w:style>
  <w:style w:type="paragraph" w:styleId="920">
    <w:name w:val="toc 3"/>
    <w:basedOn w:val="931"/>
    <w:next w:val="931"/>
    <w:uiPriority w:val="39"/>
    <w:unhideWhenUsed/>
    <w:pPr>
      <w:pBdr/>
      <w:spacing w:after="100"/>
      <w:ind w:left="440"/>
    </w:pPr>
  </w:style>
  <w:style w:type="paragraph" w:styleId="921">
    <w:name w:val="toc 4"/>
    <w:basedOn w:val="931"/>
    <w:next w:val="931"/>
    <w:uiPriority w:val="39"/>
    <w:unhideWhenUsed/>
    <w:pPr>
      <w:pBdr/>
      <w:spacing w:after="100"/>
      <w:ind w:left="660"/>
    </w:pPr>
  </w:style>
  <w:style w:type="paragraph" w:styleId="922">
    <w:name w:val="toc 5"/>
    <w:basedOn w:val="931"/>
    <w:next w:val="931"/>
    <w:uiPriority w:val="39"/>
    <w:unhideWhenUsed/>
    <w:pPr>
      <w:pBdr/>
      <w:spacing w:after="100"/>
      <w:ind w:left="880"/>
    </w:pPr>
  </w:style>
  <w:style w:type="paragraph" w:styleId="923">
    <w:name w:val="toc 6"/>
    <w:basedOn w:val="931"/>
    <w:next w:val="931"/>
    <w:uiPriority w:val="39"/>
    <w:unhideWhenUsed/>
    <w:pPr>
      <w:pBdr/>
      <w:spacing w:after="100"/>
      <w:ind w:left="1100"/>
    </w:pPr>
  </w:style>
  <w:style w:type="paragraph" w:styleId="924">
    <w:name w:val="toc 7"/>
    <w:basedOn w:val="931"/>
    <w:next w:val="931"/>
    <w:uiPriority w:val="39"/>
    <w:unhideWhenUsed/>
    <w:pPr>
      <w:pBdr/>
      <w:spacing w:after="100"/>
      <w:ind w:left="1320"/>
    </w:pPr>
  </w:style>
  <w:style w:type="paragraph" w:styleId="925">
    <w:name w:val="toc 8"/>
    <w:basedOn w:val="931"/>
    <w:next w:val="931"/>
    <w:uiPriority w:val="39"/>
    <w:unhideWhenUsed/>
    <w:pPr>
      <w:pBdr/>
      <w:spacing w:after="100"/>
      <w:ind w:left="1540"/>
    </w:pPr>
  </w:style>
  <w:style w:type="paragraph" w:styleId="926">
    <w:name w:val="toc 9"/>
    <w:basedOn w:val="931"/>
    <w:next w:val="931"/>
    <w:uiPriority w:val="39"/>
    <w:unhideWhenUsed/>
    <w:pPr>
      <w:pBdr/>
      <w:spacing w:after="100"/>
      <w:ind w:left="1760"/>
    </w:pPr>
  </w:style>
  <w:style w:type="character" w:styleId="927">
    <w:name w:val="Placeholder Text"/>
    <w:basedOn w:val="880"/>
    <w:uiPriority w:val="99"/>
    <w:semiHidden/>
    <w:pPr>
      <w:pBdr/>
      <w:spacing/>
      <w:ind/>
    </w:pPr>
    <w:rPr>
      <w:color w:val="666666"/>
    </w:rPr>
  </w:style>
  <w:style w:type="paragraph" w:styleId="928">
    <w:name w:val="TOC Heading"/>
    <w:uiPriority w:val="39"/>
    <w:unhideWhenUsed/>
    <w:pPr>
      <w:pBdr/>
      <w:spacing/>
      <w:ind/>
    </w:pPr>
  </w:style>
  <w:style w:type="paragraph" w:styleId="929">
    <w:name w:val="table of figures"/>
    <w:basedOn w:val="931"/>
    <w:next w:val="931"/>
    <w:uiPriority w:val="99"/>
    <w:unhideWhenUsed/>
    <w:pPr>
      <w:pBdr/>
      <w:spacing w:after="0" w:afterAutospacing="0"/>
      <w:ind/>
    </w:pPr>
  </w:style>
  <w:style w:type="table" w:styleId="930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31" w:default="1">
    <w:name w:val="Normal"/>
    <w:next w:val="931"/>
    <w:link w:val="931"/>
    <w:pPr>
      <w:widowControl w:val="true"/>
      <w:pBdr/>
      <w:bidi w:val="false"/>
      <w:spacing/>
      <w:ind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character" w:styleId="932">
    <w:name w:val="WW8Num1z0"/>
    <w:next w:val="932"/>
    <w:link w:val="931"/>
    <w:pPr>
      <w:pBdr/>
      <w:spacing/>
      <w:ind/>
    </w:pPr>
  </w:style>
  <w:style w:type="character" w:styleId="933">
    <w:name w:val="WW8Num1z1"/>
    <w:next w:val="933"/>
    <w:link w:val="931"/>
    <w:pPr>
      <w:pBdr/>
      <w:spacing/>
      <w:ind/>
    </w:pPr>
  </w:style>
  <w:style w:type="character" w:styleId="934">
    <w:name w:val="WW8Num1z2"/>
    <w:next w:val="934"/>
    <w:link w:val="931"/>
    <w:pPr>
      <w:pBdr/>
      <w:spacing/>
      <w:ind/>
    </w:pPr>
  </w:style>
  <w:style w:type="character" w:styleId="935">
    <w:name w:val="WW8Num1z3"/>
    <w:next w:val="935"/>
    <w:link w:val="931"/>
    <w:pPr>
      <w:pBdr/>
      <w:spacing/>
      <w:ind/>
    </w:pPr>
  </w:style>
  <w:style w:type="character" w:styleId="936">
    <w:name w:val="WW8Num1z4"/>
    <w:next w:val="936"/>
    <w:link w:val="931"/>
    <w:pPr>
      <w:pBdr/>
      <w:spacing/>
      <w:ind/>
    </w:pPr>
  </w:style>
  <w:style w:type="character" w:styleId="937">
    <w:name w:val="WW8Num1z5"/>
    <w:next w:val="937"/>
    <w:link w:val="931"/>
    <w:pPr>
      <w:pBdr/>
      <w:spacing/>
      <w:ind/>
    </w:pPr>
  </w:style>
  <w:style w:type="character" w:styleId="938">
    <w:name w:val="WW8Num1z6"/>
    <w:next w:val="938"/>
    <w:link w:val="931"/>
    <w:pPr>
      <w:pBdr/>
      <w:spacing/>
      <w:ind/>
    </w:pPr>
  </w:style>
  <w:style w:type="character" w:styleId="939">
    <w:name w:val="WW8Num1z7"/>
    <w:next w:val="939"/>
    <w:link w:val="931"/>
    <w:pPr>
      <w:pBdr/>
      <w:spacing/>
      <w:ind/>
    </w:pPr>
  </w:style>
  <w:style w:type="character" w:styleId="940">
    <w:name w:val="WW8Num1z8"/>
    <w:next w:val="940"/>
    <w:link w:val="931"/>
    <w:pPr>
      <w:pBdr/>
      <w:spacing/>
      <w:ind/>
    </w:pPr>
  </w:style>
  <w:style w:type="character" w:styleId="941">
    <w:name w:val="Основной шрифт абзаца"/>
    <w:next w:val="941"/>
    <w:link w:val="931"/>
    <w:pPr>
      <w:pBdr/>
      <w:spacing/>
      <w:ind/>
    </w:pPr>
  </w:style>
  <w:style w:type="character" w:styleId="942">
    <w:name w:val="Page Number"/>
    <w:basedOn w:val="941"/>
    <w:next w:val="942"/>
    <w:link w:val="931"/>
    <w:pPr>
      <w:pBdr/>
      <w:spacing/>
      <w:ind/>
    </w:pPr>
  </w:style>
  <w:style w:type="character" w:styleId="943">
    <w:name w:val="Нижний колонтитул Знак"/>
    <w:basedOn w:val="941"/>
    <w:next w:val="943"/>
    <w:link w:val="931"/>
    <w:pPr>
      <w:pBdr/>
      <w:spacing/>
      <w:ind/>
    </w:pPr>
    <w:rPr>
      <w:sz w:val="24"/>
      <w:szCs w:val="24"/>
    </w:rPr>
  </w:style>
  <w:style w:type="character" w:styleId="944">
    <w:name w:val="Основной текст с отступом 2 Знак"/>
    <w:basedOn w:val="941"/>
    <w:next w:val="944"/>
    <w:link w:val="931"/>
    <w:pPr>
      <w:pBdr/>
      <w:spacing/>
      <w:ind/>
    </w:pPr>
    <w:rPr>
      <w:sz w:val="24"/>
      <w:szCs w:val="24"/>
    </w:rPr>
  </w:style>
  <w:style w:type="character" w:styleId="945">
    <w:name w:val="Верхний колонтитул Знак"/>
    <w:basedOn w:val="941"/>
    <w:next w:val="945"/>
    <w:link w:val="931"/>
    <w:pPr>
      <w:pBdr/>
      <w:spacing/>
      <w:ind/>
    </w:pPr>
    <w:rPr>
      <w:sz w:val="24"/>
      <w:szCs w:val="24"/>
    </w:rPr>
  </w:style>
  <w:style w:type="character" w:styleId="946">
    <w:name w:val="Название Знак"/>
    <w:basedOn w:val="941"/>
    <w:next w:val="946"/>
    <w:link w:val="931"/>
    <w:pPr>
      <w:pBdr/>
      <w:spacing/>
      <w:ind/>
    </w:pPr>
    <w:rPr>
      <w:rFonts w:ascii="Cambria" w:hAnsi="Cambria" w:eastAsia="Times New Roman" w:cs="Times New Roman"/>
      <w:b/>
      <w:bCs/>
      <w:sz w:val="32"/>
      <w:szCs w:val="32"/>
    </w:rPr>
  </w:style>
  <w:style w:type="paragraph" w:styleId="947">
    <w:name w:val="Заголовок"/>
    <w:basedOn w:val="931"/>
    <w:next w:val="931"/>
    <w:link w:val="931"/>
    <w:pPr>
      <w:pBdr/>
      <w:spacing w:after="60" w:before="240"/>
      <w:ind/>
      <w:jc w:val="center"/>
    </w:pPr>
    <w:rPr>
      <w:rFonts w:ascii="Cambria" w:hAnsi="Cambria" w:eastAsia="Times New Roman" w:cs="Times New Roman"/>
      <w:b/>
      <w:bCs/>
      <w:sz w:val="32"/>
      <w:szCs w:val="32"/>
    </w:rPr>
  </w:style>
  <w:style w:type="paragraph" w:styleId="948">
    <w:name w:val="Body Text"/>
    <w:basedOn w:val="931"/>
    <w:next w:val="948"/>
    <w:link w:val="931"/>
    <w:pPr>
      <w:pBdr/>
      <w:spacing/>
      <w:ind/>
      <w:jc w:val="both"/>
    </w:pPr>
    <w:rPr>
      <w:sz w:val="28"/>
    </w:rPr>
  </w:style>
  <w:style w:type="paragraph" w:styleId="949">
    <w:name w:val="List"/>
    <w:basedOn w:val="948"/>
    <w:next w:val="949"/>
    <w:link w:val="931"/>
    <w:pPr>
      <w:pBdr/>
      <w:spacing/>
      <w:ind/>
    </w:pPr>
    <w:rPr>
      <w:rFonts w:ascii="Times New Roman" w:hAnsi="Times New Roman" w:cs="Arial"/>
    </w:rPr>
  </w:style>
  <w:style w:type="paragraph" w:styleId="950">
    <w:name w:val="Caption"/>
    <w:basedOn w:val="931"/>
    <w:next w:val="950"/>
    <w:link w:val="931"/>
    <w:pPr>
      <w:suppressLineNumbers w:val="true"/>
      <w:pBdr/>
      <w:spacing w:after="120" w:before="120"/>
      <w:ind/>
    </w:pPr>
    <w:rPr>
      <w:rFonts w:ascii="Times New Roman" w:hAnsi="Times New Roman" w:cs="Arial"/>
      <w:i/>
      <w:iCs/>
      <w:sz w:val="24"/>
      <w:szCs w:val="24"/>
    </w:rPr>
  </w:style>
  <w:style w:type="paragraph" w:styleId="951">
    <w:name w:val="Указатель"/>
    <w:basedOn w:val="931"/>
    <w:next w:val="951"/>
    <w:link w:val="931"/>
    <w:pPr>
      <w:suppressLineNumbers w:val="true"/>
      <w:pBdr/>
      <w:spacing/>
      <w:ind/>
    </w:pPr>
    <w:rPr>
      <w:rFonts w:ascii="Times New Roman" w:hAnsi="Times New Roman" w:cs="Arial"/>
    </w:rPr>
  </w:style>
  <w:style w:type="paragraph" w:styleId="952">
    <w:name w:val="Caption1"/>
    <w:basedOn w:val="931"/>
    <w:next w:val="952"/>
    <w:link w:val="931"/>
    <w:pPr>
      <w:suppressLineNumbers w:val="true"/>
      <w:pBdr/>
      <w:spacing w:after="120" w:before="120"/>
      <w:ind/>
    </w:pPr>
    <w:rPr>
      <w:rFonts w:ascii="Times New Roman" w:hAnsi="Times New Roman" w:cs="Arial"/>
      <w:i/>
      <w:iCs/>
      <w:sz w:val="24"/>
      <w:szCs w:val="24"/>
    </w:rPr>
  </w:style>
  <w:style w:type="paragraph" w:styleId="953">
    <w:name w:val="Caption11"/>
    <w:basedOn w:val="931"/>
    <w:next w:val="953"/>
    <w:link w:val="931"/>
    <w:pPr>
      <w:suppressLineNumbers w:val="true"/>
      <w:pBdr/>
      <w:spacing w:after="120" w:before="120"/>
      <w:ind/>
    </w:pPr>
    <w:rPr>
      <w:rFonts w:ascii="Times New Roman" w:hAnsi="Times New Roman" w:cs="Arial"/>
      <w:i/>
      <w:iCs/>
      <w:sz w:val="24"/>
      <w:szCs w:val="24"/>
    </w:rPr>
  </w:style>
  <w:style w:type="paragraph" w:styleId="954">
    <w:name w:val="Caption111"/>
    <w:basedOn w:val="931"/>
    <w:next w:val="954"/>
    <w:link w:val="931"/>
    <w:pPr>
      <w:suppressLineNumbers w:val="true"/>
      <w:pBdr/>
      <w:spacing w:after="120" w:before="120"/>
      <w:ind/>
    </w:pPr>
    <w:rPr>
      <w:rFonts w:ascii="Times New Roman" w:hAnsi="Times New Roman" w:cs="Arial"/>
      <w:i/>
      <w:iCs/>
      <w:sz w:val="24"/>
      <w:szCs w:val="24"/>
    </w:rPr>
  </w:style>
  <w:style w:type="paragraph" w:styleId="955">
    <w:name w:val="Знак Знак Знак Знак Знак Знак Знак"/>
    <w:basedOn w:val="931"/>
    <w:next w:val="955"/>
    <w:link w:val="931"/>
    <w:pPr>
      <w:pBdr/>
      <w:spacing w:after="160" w:before="0" w:line="240" w:lineRule="exact"/>
      <w:ind/>
    </w:pPr>
    <w:rPr>
      <w:rFonts w:ascii="Verdana" w:hAnsi="Verdana" w:cs="Verdana"/>
      <w:sz w:val="20"/>
      <w:szCs w:val="20"/>
      <w:lang w:val="en-US"/>
    </w:rPr>
  </w:style>
  <w:style w:type="paragraph" w:styleId="956">
    <w:name w:val="ТЗ"/>
    <w:basedOn w:val="931"/>
    <w:next w:val="956"/>
    <w:pPr>
      <w:pBdr/>
      <w:spacing/>
      <w:ind w:right="0" w:firstLine="709" w:left="0"/>
      <w:jc w:val="both"/>
    </w:pPr>
    <w:rPr>
      <w:sz w:val="28"/>
    </w:rPr>
  </w:style>
  <w:style w:type="paragraph" w:styleId="957">
    <w:name w:val="ConsNormal"/>
    <w:next w:val="957"/>
    <w:link w:val="931"/>
    <w:pPr>
      <w:widowControl w:val="false"/>
      <w:pBdr/>
      <w:bidi w:val="false"/>
      <w:spacing/>
      <w:ind w:right="19772" w:firstLine="720" w:left="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958">
    <w:name w:val="Верхний и нижний колонтитулы"/>
    <w:basedOn w:val="931"/>
    <w:next w:val="958"/>
    <w:link w:val="931"/>
    <w:pPr>
      <w:suppressLineNumbers w:val="true"/>
      <w:pBdr/>
      <w:tabs>
        <w:tab w:val="center" w:leader="none" w:pos="4819"/>
        <w:tab w:val="right" w:leader="none" w:pos="9638"/>
      </w:tabs>
      <w:spacing/>
      <w:ind/>
    </w:pPr>
  </w:style>
  <w:style w:type="paragraph" w:styleId="959">
    <w:name w:val="Колонтитул"/>
    <w:basedOn w:val="931"/>
    <w:next w:val="959"/>
    <w:link w:val="931"/>
    <w:pPr>
      <w:suppressLineNumbers w:val="true"/>
      <w:pBdr/>
      <w:tabs>
        <w:tab w:val="center" w:leader="none" w:pos="4819"/>
        <w:tab w:val="right" w:leader="none" w:pos="9638"/>
      </w:tabs>
      <w:spacing/>
      <w:ind/>
    </w:pPr>
  </w:style>
  <w:style w:type="paragraph" w:styleId="960">
    <w:name w:val="Header"/>
    <w:basedOn w:val="931"/>
    <w:next w:val="960"/>
    <w:link w:val="931"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961">
    <w:name w:val="Footer"/>
    <w:basedOn w:val="931"/>
    <w:next w:val="961"/>
    <w:link w:val="931"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962">
    <w:name w:val="Основной текст с отступом 2"/>
    <w:basedOn w:val="931"/>
    <w:next w:val="962"/>
    <w:link w:val="931"/>
    <w:pPr>
      <w:pBdr/>
      <w:spacing w:after="120" w:before="0" w:line="480" w:lineRule="auto"/>
      <w:ind w:right="0" w:firstLine="0" w:left="283"/>
    </w:pPr>
  </w:style>
  <w:style w:type="paragraph" w:styleId="963">
    <w:name w:val="Содержимое таблицы"/>
    <w:basedOn w:val="931"/>
    <w:next w:val="963"/>
    <w:link w:val="931"/>
    <w:pPr>
      <w:widowControl w:val="false"/>
      <w:suppressLineNumbers w:val="true"/>
      <w:pBdr/>
      <w:spacing/>
      <w:ind/>
    </w:pPr>
  </w:style>
  <w:style w:type="paragraph" w:styleId="964">
    <w:name w:val="Заголовок таблицы"/>
    <w:basedOn w:val="963"/>
    <w:next w:val="964"/>
    <w:link w:val="931"/>
    <w:pPr>
      <w:suppressLineNumbers w:val="true"/>
      <w:pBdr/>
      <w:spacing/>
      <w:ind/>
      <w:jc w:val="center"/>
    </w:pPr>
    <w:rPr>
      <w:b/>
      <w:bCs/>
    </w:rPr>
  </w:style>
  <w:style w:type="paragraph" w:styleId="965">
    <w:name w:val="Содержимое врезки"/>
    <w:basedOn w:val="931"/>
    <w:next w:val="965"/>
    <w:link w:val="931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</dc:title>
  <dc:creator>сорокина</dc:creator>
  <cp:revision>149</cp:revision>
  <dcterms:created xsi:type="dcterms:W3CDTF">2013-09-23T07:44:00Z</dcterms:created>
  <dcterms:modified xsi:type="dcterms:W3CDTF">2026-09-15T12:07:27Z</dcterms:modified>
</cp:coreProperties>
</file>